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BABD" w14:textId="1B6EE728" w:rsidR="00CD6BD8" w:rsidRPr="0075433B" w:rsidRDefault="007E4B96">
      <w:pPr>
        <w:rPr>
          <w:b/>
          <w:sz w:val="32"/>
          <w:szCs w:val="32"/>
        </w:rPr>
      </w:pPr>
      <w:r w:rsidRPr="0075433B">
        <w:rPr>
          <w:b/>
        </w:rPr>
        <w:t xml:space="preserve"> </w:t>
      </w:r>
      <w:r w:rsidR="00385DF5">
        <w:rPr>
          <w:b/>
          <w:sz w:val="32"/>
          <w:szCs w:val="32"/>
        </w:rPr>
        <w:t>Infection Prevention and Control</w:t>
      </w:r>
    </w:p>
    <w:p w14:paraId="1960ADA5" w14:textId="77777777" w:rsidR="007E4B96" w:rsidRDefault="007E4B9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6529"/>
      </w:tblGrid>
      <w:tr w:rsidR="007E4B96" w14:paraId="76DDEB7A" w14:textId="77777777" w:rsidTr="009E6496">
        <w:trPr>
          <w:trHeight w:val="1094"/>
        </w:trPr>
        <w:tc>
          <w:tcPr>
            <w:tcW w:w="2518" w:type="dxa"/>
          </w:tcPr>
          <w:p w14:paraId="2CF24346" w14:textId="77777777" w:rsidR="007E4B96" w:rsidRPr="00DA3EDA" w:rsidRDefault="00B0208A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Purpose</w:t>
            </w:r>
          </w:p>
          <w:p w14:paraId="650B8DF9" w14:textId="77777777" w:rsidR="00B0208A" w:rsidRPr="00DA3EDA" w:rsidRDefault="00B0208A">
            <w:pPr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573066A0" w14:textId="3BC5CD87" w:rsidR="007450AC" w:rsidRPr="00385DF5" w:rsidRDefault="00A65867" w:rsidP="00385DF5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ICB</w:t>
            </w:r>
            <w:r w:rsidR="00385DF5" w:rsidRPr="00385DF5">
              <w:rPr>
                <w:rFonts w:ascii="Arial" w:hAnsi="Arial" w:cs="Arial"/>
              </w:rPr>
              <w:t>s collaborate with Public Health services and work closely with the organisations involved in providing patient care, to jointly identify and agree the possible causes of, or factors that contributed to a patient’s infection.</w:t>
            </w:r>
          </w:p>
        </w:tc>
      </w:tr>
      <w:tr w:rsidR="007E4B96" w14:paraId="10D265B4" w14:textId="77777777" w:rsidTr="007E4B96">
        <w:tc>
          <w:tcPr>
            <w:tcW w:w="2518" w:type="dxa"/>
          </w:tcPr>
          <w:p w14:paraId="3A9FA1FB" w14:textId="77777777" w:rsidR="007E4B96" w:rsidRPr="00DA3EDA" w:rsidRDefault="00B0208A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Type of Information</w:t>
            </w:r>
          </w:p>
          <w:p w14:paraId="1915DB00" w14:textId="77777777" w:rsidR="00B0208A" w:rsidRPr="00DA3EDA" w:rsidRDefault="00B0208A">
            <w:pPr>
              <w:rPr>
                <w:rFonts w:ascii="Arial" w:hAnsi="Arial" w:cs="Arial"/>
                <w:b/>
              </w:rPr>
            </w:pPr>
          </w:p>
          <w:p w14:paraId="767F470B" w14:textId="77777777" w:rsidR="00B0208A" w:rsidRPr="00DA3EDA" w:rsidRDefault="00B0208A">
            <w:pPr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5E58D439" w14:textId="0C2C765D" w:rsidR="00ED6288" w:rsidRPr="00517066" w:rsidRDefault="00517066" w:rsidP="005170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517066">
              <w:rPr>
                <w:rFonts w:ascii="Arial" w:hAnsi="Arial" w:cs="Arial"/>
              </w:rPr>
              <w:t>dentifiable: Personal (such as name, address, date of birth) and Special Category (health information)</w:t>
            </w:r>
          </w:p>
        </w:tc>
      </w:tr>
      <w:tr w:rsidR="006F77D2" w14:paraId="235E5E78" w14:textId="77777777" w:rsidTr="009E6496">
        <w:trPr>
          <w:trHeight w:val="1244"/>
        </w:trPr>
        <w:tc>
          <w:tcPr>
            <w:tcW w:w="2518" w:type="dxa"/>
          </w:tcPr>
          <w:p w14:paraId="72945971" w14:textId="77777777" w:rsidR="006F77D2" w:rsidRPr="00DA3EDA" w:rsidRDefault="006F77D2" w:rsidP="005629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we will collect and use the Information</w:t>
            </w:r>
          </w:p>
        </w:tc>
        <w:tc>
          <w:tcPr>
            <w:tcW w:w="6724" w:type="dxa"/>
          </w:tcPr>
          <w:p w14:paraId="45D91F56" w14:textId="79ECA9AA" w:rsidR="00A7430D" w:rsidRDefault="00A7430D" w:rsidP="00330DC6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ICBs will collect and use personal data as part of day to day infection prevention control management to prevent and minimise infection for patients and the population of the ICB</w:t>
            </w:r>
            <w:r w:rsidR="00ED201E">
              <w:rPr>
                <w:rFonts w:ascii="Arial" w:eastAsia="Times New Roman" w:hAnsi="Arial" w:cs="Arial"/>
                <w:lang w:val="en" w:eastAsia="en-GB"/>
              </w:rPr>
              <w:t>.</w:t>
            </w:r>
          </w:p>
          <w:p w14:paraId="2BB3CD5C" w14:textId="77777777" w:rsidR="00A7430D" w:rsidRDefault="00A7430D" w:rsidP="00330DC6">
            <w:pPr>
              <w:rPr>
                <w:rFonts w:ascii="Arial" w:eastAsia="Times New Roman" w:hAnsi="Arial" w:cs="Arial"/>
                <w:lang w:val="en" w:eastAsia="en-GB"/>
              </w:rPr>
            </w:pPr>
          </w:p>
          <w:p w14:paraId="11B33754" w14:textId="143030D9" w:rsidR="009613B8" w:rsidRPr="00B32DF7" w:rsidRDefault="00A40E96" w:rsidP="00330DC6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ICB</w:t>
            </w:r>
            <w:r w:rsidR="00330DC6" w:rsidRPr="00330DC6">
              <w:rPr>
                <w:rFonts w:ascii="Arial" w:eastAsia="Times New Roman" w:hAnsi="Arial" w:cs="Arial"/>
                <w:lang w:val="en" w:eastAsia="en-GB"/>
              </w:rPr>
              <w:t xml:space="preserve">s participate in </w:t>
            </w:r>
            <w:r w:rsidR="00F81D69">
              <w:rPr>
                <w:rFonts w:ascii="Arial" w:eastAsia="Times New Roman" w:hAnsi="Arial" w:cs="Arial"/>
                <w:lang w:val="en" w:eastAsia="en-GB"/>
              </w:rPr>
              <w:t xml:space="preserve">Patient Safety Incident Investigations </w:t>
            </w:r>
            <w:r w:rsidR="00330DC6" w:rsidRPr="00330DC6">
              <w:rPr>
                <w:rFonts w:ascii="Arial" w:eastAsia="Times New Roman" w:hAnsi="Arial" w:cs="Arial"/>
                <w:lang w:val="en" w:eastAsia="en-GB"/>
              </w:rPr>
              <w:t>in the circumstances set out in the P</w:t>
            </w:r>
            <w:r w:rsidR="00F81D69">
              <w:rPr>
                <w:rFonts w:ascii="Arial" w:eastAsia="Times New Roman" w:hAnsi="Arial" w:cs="Arial"/>
                <w:lang w:val="en" w:eastAsia="en-GB"/>
              </w:rPr>
              <w:t>atient Safety Response Framework</w:t>
            </w:r>
            <w:r w:rsidR="00330DC6" w:rsidRPr="00330DC6">
              <w:rPr>
                <w:rFonts w:ascii="Arial" w:eastAsia="Times New Roman" w:hAnsi="Arial" w:cs="Arial"/>
                <w:lang w:val="en" w:eastAsia="en-GB"/>
              </w:rPr>
              <w:t xml:space="preserve">, issued by NHS England. The </w:t>
            </w:r>
            <w:r>
              <w:rPr>
                <w:rFonts w:ascii="Arial" w:eastAsia="Times New Roman" w:hAnsi="Arial" w:cs="Arial"/>
                <w:lang w:val="en" w:eastAsia="en-GB"/>
              </w:rPr>
              <w:t>ICB</w:t>
            </w:r>
            <w:r w:rsidR="00330DC6" w:rsidRPr="00330DC6">
              <w:rPr>
                <w:rFonts w:ascii="Arial" w:eastAsia="Times New Roman" w:hAnsi="Arial" w:cs="Arial"/>
                <w:lang w:val="en" w:eastAsia="en-GB"/>
              </w:rPr>
              <w:t xml:space="preserve"> receives this information from Healthcare providers. The </w:t>
            </w:r>
            <w:r>
              <w:rPr>
                <w:rFonts w:ascii="Arial" w:eastAsia="Times New Roman" w:hAnsi="Arial" w:cs="Arial"/>
                <w:lang w:val="en" w:eastAsia="en-GB"/>
              </w:rPr>
              <w:t>ICB</w:t>
            </w:r>
            <w:r w:rsidR="00330DC6" w:rsidRPr="00330DC6">
              <w:rPr>
                <w:rFonts w:ascii="Arial" w:eastAsia="Times New Roman" w:hAnsi="Arial" w:cs="Arial"/>
                <w:lang w:val="en" w:eastAsia="en-GB"/>
              </w:rPr>
              <w:t xml:space="preserve"> uses the results of the</w:t>
            </w:r>
            <w:r w:rsidR="00F81D69">
              <w:rPr>
                <w:rFonts w:ascii="Arial" w:eastAsia="Times New Roman" w:hAnsi="Arial" w:cs="Arial"/>
                <w:lang w:val="en" w:eastAsia="en-GB"/>
              </w:rPr>
              <w:t xml:space="preserve"> Patient Safety Incident Investigations</w:t>
            </w:r>
            <w:r w:rsidR="00330DC6" w:rsidRPr="00330DC6">
              <w:rPr>
                <w:rFonts w:ascii="Arial" w:eastAsia="Times New Roman" w:hAnsi="Arial" w:cs="Arial"/>
                <w:lang w:val="en" w:eastAsia="en-GB"/>
              </w:rPr>
              <w:t xml:space="preserve"> to inform the mandatory healthcare associated infections reporting system</w:t>
            </w:r>
            <w:r w:rsidR="00F81D69">
              <w:rPr>
                <w:rFonts w:ascii="Arial" w:eastAsia="Times New Roman" w:hAnsi="Arial" w:cs="Arial"/>
                <w:lang w:val="en" w:eastAsia="en-GB"/>
              </w:rPr>
              <w:t xml:space="preserve"> and to share learning for future </w:t>
            </w:r>
            <w:r w:rsidR="00033E53">
              <w:rPr>
                <w:rFonts w:ascii="Arial" w:eastAsia="Times New Roman" w:hAnsi="Arial" w:cs="Arial"/>
                <w:lang w:val="en" w:eastAsia="en-GB"/>
              </w:rPr>
              <w:t xml:space="preserve">infection </w:t>
            </w:r>
            <w:r w:rsidR="00F81D69">
              <w:rPr>
                <w:rFonts w:ascii="Arial" w:eastAsia="Times New Roman" w:hAnsi="Arial" w:cs="Arial"/>
                <w:lang w:val="en" w:eastAsia="en-GB"/>
              </w:rPr>
              <w:t>prevention.</w:t>
            </w:r>
          </w:p>
        </w:tc>
      </w:tr>
      <w:tr w:rsidR="00DB4F29" w14:paraId="4F07A23C" w14:textId="77777777" w:rsidTr="007E4B96">
        <w:tc>
          <w:tcPr>
            <w:tcW w:w="2518" w:type="dxa"/>
          </w:tcPr>
          <w:p w14:paraId="765AE9F9" w14:textId="78502B67" w:rsidR="00DB4F29" w:rsidRPr="00DA3EDA" w:rsidRDefault="00DB4F29" w:rsidP="005629F6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Who we will share the information with</w:t>
            </w:r>
            <w:r w:rsidR="00B32DF7">
              <w:rPr>
                <w:rFonts w:ascii="Arial" w:hAnsi="Arial" w:cs="Arial"/>
                <w:b/>
              </w:rPr>
              <w:t>.</w:t>
            </w:r>
          </w:p>
          <w:p w14:paraId="539F8993" w14:textId="77777777" w:rsidR="00DB4F29" w:rsidRPr="00DA3EDA" w:rsidRDefault="00DB4F29" w:rsidP="005629F6">
            <w:pPr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2A6DBD65" w14:textId="69F80E8D" w:rsidR="00DB4F29" w:rsidRPr="004218BF" w:rsidRDefault="00330DC6" w:rsidP="00330DC6">
            <w:pPr>
              <w:rPr>
                <w:rFonts w:ascii="Arial" w:hAnsi="Arial" w:cs="Arial"/>
              </w:rPr>
            </w:pPr>
            <w:r w:rsidRPr="00330DC6">
              <w:rPr>
                <w:rFonts w:ascii="Arial" w:hAnsi="Arial" w:cs="Arial"/>
              </w:rPr>
              <w:t>Information may be shared with Primary and Secondary healthcare providers and with the Local Authority who are responsible for Public Health with</w:t>
            </w:r>
            <w:r>
              <w:rPr>
                <w:rFonts w:ascii="Arial" w:hAnsi="Arial" w:cs="Arial"/>
              </w:rPr>
              <w:t>in the</w:t>
            </w:r>
            <w:r w:rsidRPr="00330D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ICB</w:t>
            </w:r>
            <w:r w:rsidRPr="00330DC6">
              <w:rPr>
                <w:rFonts w:ascii="Arial" w:hAnsi="Arial" w:cs="Arial"/>
              </w:rPr>
              <w:t xml:space="preserve"> boundary.</w:t>
            </w:r>
          </w:p>
        </w:tc>
      </w:tr>
      <w:tr w:rsidR="00DB4F29" w14:paraId="5573FBEF" w14:textId="77777777" w:rsidTr="007E4B96">
        <w:tc>
          <w:tcPr>
            <w:tcW w:w="2518" w:type="dxa"/>
          </w:tcPr>
          <w:p w14:paraId="6C0EBF5E" w14:textId="77777777" w:rsidR="00DB4F29" w:rsidRDefault="00DB4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Legal Basis for Processing Personal Data</w:t>
            </w:r>
          </w:p>
          <w:p w14:paraId="32064350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039A8847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4DFBD76F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675D0FC8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6342BC31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6DD815DD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3F9E6849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77AF12EE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58D571DA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5E4CE0F8" w14:textId="77777777" w:rsidR="008F1204" w:rsidRDefault="008F1204" w:rsidP="008F1204">
            <w:pPr>
              <w:rPr>
                <w:rFonts w:ascii="Arial" w:hAnsi="Arial" w:cs="Arial"/>
                <w:b/>
              </w:rPr>
            </w:pPr>
          </w:p>
          <w:p w14:paraId="5469FAEB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29D2750A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101C28CD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33A63113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128C624A" w14:textId="77777777" w:rsidR="008F1204" w:rsidRDefault="008F1204" w:rsidP="008F1204">
            <w:pPr>
              <w:rPr>
                <w:rFonts w:ascii="Arial" w:hAnsi="Arial" w:cs="Arial"/>
                <w:b/>
              </w:rPr>
            </w:pPr>
          </w:p>
          <w:p w14:paraId="4F0A0B1D" w14:textId="77777777" w:rsidR="008F1204" w:rsidRPr="008F1204" w:rsidRDefault="008F1204" w:rsidP="008F1204">
            <w:pPr>
              <w:rPr>
                <w:rFonts w:ascii="Arial" w:hAnsi="Arial" w:cs="Arial"/>
              </w:rPr>
            </w:pPr>
          </w:p>
          <w:p w14:paraId="2B2878B0" w14:textId="77777777" w:rsidR="008F1204" w:rsidRDefault="008F1204" w:rsidP="008F1204">
            <w:pPr>
              <w:rPr>
                <w:rFonts w:ascii="Arial" w:hAnsi="Arial" w:cs="Arial"/>
                <w:b/>
              </w:rPr>
            </w:pPr>
          </w:p>
          <w:p w14:paraId="156F9A47" w14:textId="77777777" w:rsidR="008F1204" w:rsidRDefault="008F1204" w:rsidP="008F1204">
            <w:pPr>
              <w:rPr>
                <w:rFonts w:ascii="Arial" w:hAnsi="Arial" w:cs="Arial"/>
                <w:b/>
              </w:rPr>
            </w:pPr>
          </w:p>
          <w:p w14:paraId="72E7A9C4" w14:textId="369E07A7" w:rsidR="008F1204" w:rsidRPr="008F1204" w:rsidRDefault="008F1204" w:rsidP="008D48B4">
            <w:pPr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3B6FE4D1" w14:textId="6813F2E9" w:rsidR="00653763" w:rsidRDefault="00653763" w:rsidP="00C44A0F">
            <w:pPr>
              <w:spacing w:before="240" w:after="240"/>
              <w:rPr>
                <w:rFonts w:ascii="Arial" w:eastAsia="Times New Roman" w:hAnsi="Arial" w:cs="Arial"/>
                <w:lang w:val="en-US" w:eastAsia="en-GB"/>
              </w:rPr>
            </w:pPr>
            <w:r w:rsidRPr="00CF6EAE">
              <w:rPr>
                <w:rFonts w:ascii="Arial" w:eastAsia="Times New Roman" w:hAnsi="Arial" w:cs="Arial"/>
                <w:lang w:val="en-US" w:eastAsia="en-GB"/>
              </w:rPr>
              <w:t>6(1)(</w:t>
            </w:r>
            <w:proofErr w:type="gramStart"/>
            <w:r>
              <w:rPr>
                <w:rFonts w:ascii="Arial" w:eastAsia="Times New Roman" w:hAnsi="Arial" w:cs="Arial"/>
                <w:lang w:val="en-US" w:eastAsia="en-GB"/>
              </w:rPr>
              <w:t>c</w:t>
            </w:r>
            <w:r w:rsidRPr="00CF6EAE">
              <w:rPr>
                <w:rFonts w:ascii="Arial" w:eastAsia="Times New Roman" w:hAnsi="Arial" w:cs="Arial"/>
                <w:lang w:val="en-US" w:eastAsia="en-GB"/>
              </w:rPr>
              <w:t>)processing</w:t>
            </w:r>
            <w:proofErr w:type="gramEnd"/>
            <w:r w:rsidRPr="00CF6EAE">
              <w:rPr>
                <w:rFonts w:ascii="Arial" w:eastAsia="Times New Roman" w:hAnsi="Arial" w:cs="Arial"/>
                <w:lang w:val="en-US" w:eastAsia="en-GB"/>
              </w:rPr>
              <w:t xml:space="preserve"> is necessary for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compliance with a legal obligation to which the controller is </w:t>
            </w:r>
            <w:proofErr w:type="gramStart"/>
            <w:r>
              <w:rPr>
                <w:rFonts w:ascii="Arial" w:eastAsia="Times New Roman" w:hAnsi="Arial" w:cs="Arial"/>
                <w:lang w:val="en-US" w:eastAsia="en-GB"/>
              </w:rPr>
              <w:t>subject;</w:t>
            </w:r>
            <w:proofErr w:type="gramEnd"/>
          </w:p>
          <w:p w14:paraId="3C68B977" w14:textId="6E332719" w:rsidR="00DB4F29" w:rsidRPr="00CF6EAE" w:rsidRDefault="00DB4F29" w:rsidP="00C44A0F">
            <w:pPr>
              <w:spacing w:before="240" w:after="240"/>
              <w:rPr>
                <w:rFonts w:ascii="Arial" w:eastAsia="Times New Roman" w:hAnsi="Arial" w:cs="Arial"/>
                <w:lang w:val="en-US" w:eastAsia="en-GB"/>
              </w:rPr>
            </w:pPr>
            <w:r w:rsidRPr="00CF6EAE">
              <w:rPr>
                <w:rFonts w:ascii="Arial" w:eastAsia="Times New Roman" w:hAnsi="Arial" w:cs="Arial"/>
                <w:lang w:val="en-US" w:eastAsia="en-GB"/>
              </w:rPr>
              <w:t>6(1)(</w:t>
            </w:r>
            <w:proofErr w:type="gramStart"/>
            <w:r w:rsidRPr="00CF6EAE">
              <w:rPr>
                <w:rFonts w:ascii="Arial" w:eastAsia="Times New Roman" w:hAnsi="Arial" w:cs="Arial"/>
                <w:lang w:val="en-US" w:eastAsia="en-GB"/>
              </w:rPr>
              <w:t>e)processing</w:t>
            </w:r>
            <w:proofErr w:type="gramEnd"/>
            <w:r w:rsidRPr="00CF6EAE">
              <w:rPr>
                <w:rFonts w:ascii="Arial" w:eastAsia="Times New Roman" w:hAnsi="Arial" w:cs="Arial"/>
                <w:lang w:val="en-US" w:eastAsia="en-GB"/>
              </w:rPr>
              <w:t xml:space="preserve"> is necessary for the performance of a task carried out in the public interest or in the exercise of official authority vested in the </w:t>
            </w:r>
            <w:proofErr w:type="gramStart"/>
            <w:r w:rsidRPr="00CF6EAE">
              <w:rPr>
                <w:rFonts w:ascii="Arial" w:eastAsia="Times New Roman" w:hAnsi="Arial" w:cs="Arial"/>
                <w:lang w:val="en-US" w:eastAsia="en-GB"/>
              </w:rPr>
              <w:t>controller;</w:t>
            </w:r>
            <w:proofErr w:type="gramEnd"/>
          </w:p>
          <w:p w14:paraId="13884D06" w14:textId="15F855C5" w:rsidR="00517066" w:rsidRPr="00517066" w:rsidRDefault="00517066" w:rsidP="00D16415">
            <w:pPr>
              <w:rPr>
                <w:rFonts w:ascii="Arial" w:hAnsi="Arial" w:cs="Arial"/>
                <w:b/>
                <w:bCs/>
                <w:lang w:val="en"/>
              </w:rPr>
            </w:pPr>
            <w:r w:rsidRPr="00517066">
              <w:rPr>
                <w:rFonts w:ascii="Arial" w:hAnsi="Arial" w:cs="Arial"/>
              </w:rPr>
              <w:t>The Health and Social Care Act 2008: Code of Practice for the NHS for the Prevention and Control of Healthcare Associated Infections (revised January 2015) and Regulation 3 of The Health Service (Control of Patient Information) Regulations 2002</w:t>
            </w:r>
          </w:p>
          <w:p w14:paraId="5ECC5BA4" w14:textId="77777777" w:rsidR="00517066" w:rsidRDefault="00517066" w:rsidP="00D16415">
            <w:pPr>
              <w:rPr>
                <w:rFonts w:ascii="Arial" w:hAnsi="Arial" w:cs="Arial"/>
                <w:b/>
                <w:bCs/>
                <w:lang w:val="en"/>
              </w:rPr>
            </w:pPr>
          </w:p>
          <w:p w14:paraId="0933E691" w14:textId="6EFF9A38" w:rsidR="00D16415" w:rsidRPr="00D16415" w:rsidRDefault="00D16415" w:rsidP="00D16415">
            <w:pPr>
              <w:rPr>
                <w:rFonts w:ascii="Arial" w:hAnsi="Arial" w:cs="Arial"/>
                <w:b/>
                <w:bCs/>
                <w:lang w:val="en"/>
              </w:rPr>
            </w:pPr>
            <w:r w:rsidRPr="00DE6FE8">
              <w:rPr>
                <w:rFonts w:ascii="Arial" w:hAnsi="Arial" w:cs="Arial"/>
                <w:b/>
                <w:bCs/>
                <w:lang w:val="en"/>
              </w:rPr>
              <w:t>Processing of Special Categories of Data</w:t>
            </w:r>
          </w:p>
          <w:p w14:paraId="0584C9CF" w14:textId="532F134E" w:rsidR="00DB4F29" w:rsidRDefault="00C44A0F" w:rsidP="00DC0E91">
            <w:pPr>
              <w:spacing w:before="100" w:beforeAutospacing="1" w:after="100" w:afterAutospacing="1"/>
              <w:outlineLvl w:val="2"/>
              <w:rPr>
                <w:rStyle w:val="Hyperlink"/>
                <w:rFonts w:ascii="Arial" w:eastAsia="Times New Roman" w:hAnsi="Arial" w:cs="Arial"/>
                <w:bCs/>
                <w:lang w:val="en-US" w:eastAsia="en-GB"/>
              </w:rPr>
            </w:pPr>
            <w:r>
              <w:rPr>
                <w:rFonts w:ascii="Arial" w:eastAsia="Times New Roman" w:hAnsi="Arial" w:cs="Arial"/>
                <w:bCs/>
                <w:lang w:val="en-US" w:eastAsia="en-GB"/>
              </w:rPr>
              <w:t>9</w:t>
            </w:r>
            <w:r w:rsidRPr="00C44A0F">
              <w:rPr>
                <w:rFonts w:ascii="Arial" w:eastAsia="Times New Roman" w:hAnsi="Arial" w:cs="Arial"/>
                <w:bCs/>
                <w:lang w:val="en-US" w:eastAsia="en-GB"/>
              </w:rPr>
              <w:t>(2)(</w:t>
            </w:r>
            <w:proofErr w:type="spellStart"/>
            <w:r w:rsidR="00F824B9">
              <w:rPr>
                <w:rFonts w:ascii="Arial" w:eastAsia="Times New Roman" w:hAnsi="Arial" w:cs="Arial"/>
                <w:bCs/>
                <w:lang w:val="en-US" w:eastAsia="en-GB"/>
              </w:rPr>
              <w:t>i</w:t>
            </w:r>
            <w:proofErr w:type="spellEnd"/>
            <w:r w:rsidRPr="00C44A0F">
              <w:rPr>
                <w:rFonts w:ascii="Arial" w:eastAsia="Times New Roman" w:hAnsi="Arial" w:cs="Arial"/>
                <w:bCs/>
                <w:lang w:val="en-US" w:eastAsia="en-GB"/>
              </w:rPr>
              <w:t xml:space="preserve">) </w:t>
            </w:r>
            <w:r w:rsidR="00517066" w:rsidRPr="00517066">
              <w:rPr>
                <w:rFonts w:ascii="Arial" w:eastAsia="Times New Roman" w:hAnsi="Arial" w:cs="Arial"/>
                <w:bCs/>
                <w:lang w:val="en-US" w:eastAsia="en-GB"/>
              </w:rPr>
              <w:t xml:space="preserve">processing is </w:t>
            </w:r>
            <w:r w:rsidR="00517066" w:rsidRPr="00517066">
              <w:rPr>
                <w:rFonts w:ascii="Arial" w:hAnsi="Arial" w:cs="Arial"/>
              </w:rPr>
              <w:t xml:space="preserve">necessary for reasons of public interest </w:t>
            </w:r>
            <w:proofErr w:type="gramStart"/>
            <w:r w:rsidR="00517066" w:rsidRPr="00517066">
              <w:rPr>
                <w:rFonts w:ascii="Arial" w:hAnsi="Arial" w:cs="Arial"/>
              </w:rPr>
              <w:t>in the area of</w:t>
            </w:r>
            <w:proofErr w:type="gramEnd"/>
            <w:r w:rsidR="00517066" w:rsidRPr="00517066">
              <w:rPr>
                <w:rFonts w:ascii="Arial" w:hAnsi="Arial" w:cs="Arial"/>
              </w:rPr>
              <w:t xml:space="preserve"> public health…or ensuring high standards of quality and safety of health care and of medicinal products or medical devices…</w:t>
            </w:r>
          </w:p>
          <w:p w14:paraId="2C22FDEB" w14:textId="479E2593" w:rsidR="00DC0E91" w:rsidRPr="00C86DE9" w:rsidRDefault="00C86DE9" w:rsidP="00DC0E9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color w:val="0000FF" w:themeColor="hyperlink"/>
                <w:u w:val="single"/>
                <w:lang w:val="en-US" w:eastAsia="en-GB"/>
              </w:rPr>
            </w:pPr>
            <w:r w:rsidRPr="00C8695B">
              <w:rPr>
                <w:rFonts w:ascii="Arial" w:eastAsia="Times New Roman" w:hAnsi="Arial" w:cs="Arial"/>
                <w:lang w:val="en" w:eastAsia="en-GB"/>
              </w:rPr>
              <w:t>Schedule 1 part 1 (</w:t>
            </w:r>
            <w:r w:rsidR="00517066">
              <w:rPr>
                <w:rFonts w:ascii="Arial" w:eastAsia="Times New Roman" w:hAnsi="Arial" w:cs="Arial"/>
                <w:lang w:val="en" w:eastAsia="en-GB"/>
              </w:rPr>
              <w:t>3</w:t>
            </w:r>
            <w:r w:rsidRPr="00C8695B">
              <w:rPr>
                <w:rFonts w:ascii="Arial" w:eastAsia="Times New Roman" w:hAnsi="Arial" w:cs="Arial"/>
                <w:lang w:val="en" w:eastAsia="en-GB"/>
              </w:rPr>
              <w:t>) of DPA 2018 for ‘</w:t>
            </w:r>
            <w:r w:rsidR="00517066">
              <w:rPr>
                <w:rFonts w:ascii="Arial" w:eastAsia="Times New Roman" w:hAnsi="Arial" w:cs="Arial"/>
                <w:lang w:val="en" w:eastAsia="en-GB"/>
              </w:rPr>
              <w:t>Public Health’ purposes.</w:t>
            </w:r>
          </w:p>
        </w:tc>
      </w:tr>
      <w:tr w:rsidR="00975D3C" w14:paraId="2B488352" w14:textId="77777777" w:rsidTr="007E4B96">
        <w:tc>
          <w:tcPr>
            <w:tcW w:w="2518" w:type="dxa"/>
          </w:tcPr>
          <w:p w14:paraId="5D94D850" w14:textId="77777777" w:rsidR="00975D3C" w:rsidRPr="00DA3EDA" w:rsidRDefault="00975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Common Law Duty of Confidentiality</w:t>
            </w:r>
          </w:p>
        </w:tc>
        <w:tc>
          <w:tcPr>
            <w:tcW w:w="6724" w:type="dxa"/>
          </w:tcPr>
          <w:p w14:paraId="03AE74C0" w14:textId="57AD2BFF" w:rsidR="00DC0E91" w:rsidRDefault="00A7430D" w:rsidP="00A658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will not be sought for mandated reviews as there is a legal requirement</w:t>
            </w:r>
            <w:r w:rsidR="006B4A07">
              <w:rPr>
                <w:rFonts w:ascii="Arial" w:hAnsi="Arial" w:cs="Arial"/>
              </w:rPr>
              <w:t xml:space="preserve"> in the public interest</w:t>
            </w:r>
            <w:r>
              <w:rPr>
                <w:rFonts w:ascii="Arial" w:hAnsi="Arial" w:cs="Arial"/>
              </w:rPr>
              <w:t xml:space="preserve"> for us to carry out this work.</w:t>
            </w:r>
          </w:p>
          <w:p w14:paraId="7F72B91F" w14:textId="6F34D272" w:rsidR="00ED201E" w:rsidRDefault="00ED201E" w:rsidP="00A65867">
            <w:pPr>
              <w:rPr>
                <w:rFonts w:ascii="Arial" w:hAnsi="Arial" w:cs="Arial"/>
              </w:rPr>
            </w:pPr>
          </w:p>
          <w:p w14:paraId="587A46BD" w14:textId="3AA24A1C" w:rsidR="00ED201E" w:rsidRDefault="00ED201E" w:rsidP="00A658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obtain explicit consent for any non-mandated review</w:t>
            </w:r>
            <w:r w:rsidR="002E25F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  <w:p w14:paraId="323B62C2" w14:textId="4263A49A" w:rsidR="00A7430D" w:rsidRPr="00975D3C" w:rsidRDefault="00A7430D" w:rsidP="00A65867">
            <w:pPr>
              <w:rPr>
                <w:rFonts w:ascii="Arial" w:hAnsi="Arial" w:cs="Arial"/>
              </w:rPr>
            </w:pPr>
          </w:p>
        </w:tc>
      </w:tr>
      <w:tr w:rsidR="00DB4F29" w14:paraId="2612E712" w14:textId="77777777" w:rsidTr="007E4B96">
        <w:tc>
          <w:tcPr>
            <w:tcW w:w="2518" w:type="dxa"/>
          </w:tcPr>
          <w:p w14:paraId="17E2A846" w14:textId="77777777" w:rsidR="00DB4F29" w:rsidRPr="00DA3EDA" w:rsidRDefault="00DB4F29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Data Processors</w:t>
            </w:r>
          </w:p>
          <w:p w14:paraId="6D5E43D8" w14:textId="77777777" w:rsidR="00DB4F29" w:rsidRPr="00DA3EDA" w:rsidRDefault="00DB4F29">
            <w:pPr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545D9B12" w14:textId="729CCB32" w:rsidR="00DB4F29" w:rsidRPr="00330DC6" w:rsidRDefault="00330DC6" w:rsidP="00DC0E91">
            <w:pPr>
              <w:rPr>
                <w:rFonts w:ascii="Arial" w:hAnsi="Arial" w:cs="Arial"/>
              </w:rPr>
            </w:pPr>
            <w:r w:rsidRPr="00330DC6">
              <w:rPr>
                <w:rFonts w:ascii="Arial" w:hAnsi="Arial" w:cs="Arial"/>
              </w:rPr>
              <w:t>None</w:t>
            </w:r>
          </w:p>
        </w:tc>
      </w:tr>
      <w:tr w:rsidR="00DB4F29" w14:paraId="218BFA80" w14:textId="77777777" w:rsidTr="007E4B96">
        <w:tc>
          <w:tcPr>
            <w:tcW w:w="2518" w:type="dxa"/>
          </w:tcPr>
          <w:p w14:paraId="3E3755BC" w14:textId="77777777" w:rsidR="00DB4F29" w:rsidRPr="004775F6" w:rsidRDefault="00DB4F29">
            <w:pPr>
              <w:rPr>
                <w:rFonts w:ascii="Arial" w:eastAsia="Times New Roman" w:hAnsi="Arial" w:cs="Arial"/>
                <w:b/>
                <w:bCs/>
                <w:color w:val="231F20"/>
                <w:lang w:eastAsia="en-GB"/>
              </w:rPr>
            </w:pPr>
            <w:r w:rsidRPr="004775F6">
              <w:rPr>
                <w:rFonts w:ascii="Arial" w:eastAsia="Times New Roman" w:hAnsi="Arial" w:cs="Arial"/>
                <w:b/>
                <w:bCs/>
                <w:color w:val="231F20"/>
                <w:lang w:eastAsia="en-GB"/>
              </w:rPr>
              <w:t>Your Rights</w:t>
            </w:r>
          </w:p>
          <w:p w14:paraId="6BE0EFFA" w14:textId="77777777" w:rsidR="00DB4F29" w:rsidRPr="00AD4CAF" w:rsidRDefault="00DB4F29">
            <w:pPr>
              <w:rPr>
                <w:rFonts w:ascii="Arial" w:eastAsia="Times New Roman" w:hAnsi="Arial" w:cs="Arial"/>
                <w:color w:val="231F20"/>
                <w:lang w:eastAsia="en-GB"/>
              </w:rPr>
            </w:pPr>
          </w:p>
          <w:p w14:paraId="2F632C21" w14:textId="77777777" w:rsidR="00DB4F29" w:rsidRPr="00AD4CAF" w:rsidRDefault="00DB4F29">
            <w:pPr>
              <w:rPr>
                <w:rFonts w:ascii="Arial" w:eastAsia="Times New Roman" w:hAnsi="Arial" w:cs="Arial"/>
                <w:color w:val="231F20"/>
                <w:lang w:eastAsia="en-GB"/>
              </w:rPr>
            </w:pPr>
          </w:p>
          <w:p w14:paraId="0AA0AD75" w14:textId="77777777" w:rsidR="00DB4F29" w:rsidRPr="00AD4CAF" w:rsidRDefault="00DB4F29">
            <w:pPr>
              <w:rPr>
                <w:rFonts w:ascii="Arial" w:eastAsia="Times New Roman" w:hAnsi="Arial" w:cs="Arial"/>
                <w:color w:val="231F20"/>
                <w:lang w:eastAsia="en-GB"/>
              </w:rPr>
            </w:pPr>
          </w:p>
          <w:p w14:paraId="512B0F36" w14:textId="77777777" w:rsidR="00DB4F29" w:rsidRPr="00AD4CAF" w:rsidRDefault="00DB4F29">
            <w:pPr>
              <w:rPr>
                <w:rFonts w:ascii="Arial" w:eastAsia="Times New Roman" w:hAnsi="Arial" w:cs="Arial"/>
                <w:color w:val="231F20"/>
                <w:lang w:eastAsia="en-GB"/>
              </w:rPr>
            </w:pPr>
          </w:p>
        </w:tc>
        <w:tc>
          <w:tcPr>
            <w:tcW w:w="6724" w:type="dxa"/>
          </w:tcPr>
          <w:p w14:paraId="758B763B" w14:textId="77777777" w:rsidR="00525B5D" w:rsidRPr="00525B5D" w:rsidRDefault="00525B5D" w:rsidP="00525B5D">
            <w:pPr>
              <w:spacing w:line="312" w:lineRule="auto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525B5D">
              <w:rPr>
                <w:rFonts w:ascii="Arial" w:eastAsia="Times New Roman" w:hAnsi="Arial" w:cs="Arial"/>
                <w:color w:val="231F20"/>
                <w:lang w:eastAsia="en-GB"/>
              </w:rPr>
              <w:t xml:space="preserve">To be informed about the processing of your information (this </w:t>
            </w:r>
          </w:p>
          <w:p w14:paraId="0243B677" w14:textId="77777777" w:rsidR="00525B5D" w:rsidRPr="00525B5D" w:rsidRDefault="00525B5D" w:rsidP="00525B5D">
            <w:pPr>
              <w:spacing w:line="312" w:lineRule="auto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525B5D">
              <w:rPr>
                <w:rFonts w:ascii="Arial" w:eastAsia="Times New Roman" w:hAnsi="Arial" w:cs="Arial"/>
                <w:color w:val="231F20"/>
                <w:lang w:eastAsia="en-GB"/>
              </w:rPr>
              <w:t>notice)</w:t>
            </w:r>
          </w:p>
          <w:p w14:paraId="7ABB9E9C" w14:textId="77777777" w:rsidR="00525B5D" w:rsidRPr="00525B5D" w:rsidRDefault="00525B5D" w:rsidP="00525B5D">
            <w:pPr>
              <w:spacing w:line="312" w:lineRule="auto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525B5D">
              <w:rPr>
                <w:rFonts w:ascii="Arial" w:eastAsia="Times New Roman" w:hAnsi="Arial" w:cs="Arial"/>
                <w:color w:val="231F20"/>
                <w:lang w:eastAsia="en-GB"/>
              </w:rPr>
              <w:t>• Of access to information held about you</w:t>
            </w:r>
          </w:p>
          <w:p w14:paraId="0AC0CD66" w14:textId="77777777" w:rsidR="00525B5D" w:rsidRPr="00525B5D" w:rsidRDefault="00525B5D" w:rsidP="00525B5D">
            <w:pPr>
              <w:spacing w:line="312" w:lineRule="auto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525B5D">
              <w:rPr>
                <w:rFonts w:ascii="Arial" w:eastAsia="Times New Roman" w:hAnsi="Arial" w:cs="Arial"/>
                <w:color w:val="231F20"/>
                <w:lang w:eastAsia="en-GB"/>
              </w:rPr>
              <w:t xml:space="preserve">• Have the information corrected in the event that it is </w:t>
            </w:r>
          </w:p>
          <w:p w14:paraId="21947CE0" w14:textId="77777777" w:rsidR="00525B5D" w:rsidRPr="00525B5D" w:rsidRDefault="00525B5D" w:rsidP="00525B5D">
            <w:pPr>
              <w:spacing w:line="312" w:lineRule="auto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525B5D">
              <w:rPr>
                <w:rFonts w:ascii="Arial" w:eastAsia="Times New Roman" w:hAnsi="Arial" w:cs="Arial"/>
                <w:color w:val="231F20"/>
                <w:lang w:eastAsia="en-GB"/>
              </w:rPr>
              <w:t>inaccurate</w:t>
            </w:r>
          </w:p>
          <w:p w14:paraId="58876767" w14:textId="77777777" w:rsidR="00525B5D" w:rsidRPr="00525B5D" w:rsidRDefault="00525B5D" w:rsidP="00525B5D">
            <w:pPr>
              <w:spacing w:line="312" w:lineRule="auto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525B5D">
              <w:rPr>
                <w:rFonts w:ascii="Arial" w:eastAsia="Times New Roman" w:hAnsi="Arial" w:cs="Arial"/>
                <w:color w:val="231F20"/>
                <w:lang w:eastAsia="en-GB"/>
              </w:rPr>
              <w:t>• To restrict or stop processing</w:t>
            </w:r>
          </w:p>
          <w:p w14:paraId="5D96C5F0" w14:textId="665292FB" w:rsidR="00525B5D" w:rsidRPr="00525B5D" w:rsidRDefault="00525B5D" w:rsidP="00525B5D">
            <w:pPr>
              <w:spacing w:line="312" w:lineRule="auto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525B5D">
              <w:rPr>
                <w:rFonts w:ascii="Arial" w:eastAsia="Times New Roman" w:hAnsi="Arial" w:cs="Arial"/>
                <w:color w:val="231F20"/>
                <w:lang w:eastAsia="en-GB"/>
              </w:rPr>
              <w:t>• Object to it being processed or used</w:t>
            </w:r>
            <w:r>
              <w:rPr>
                <w:rFonts w:ascii="Arial" w:eastAsia="Times New Roman" w:hAnsi="Arial" w:cs="Arial"/>
                <w:color w:val="231F20"/>
                <w:lang w:eastAsia="en-GB"/>
              </w:rPr>
              <w:t xml:space="preserve"> (where we are relying on public task as the legal basis)</w:t>
            </w:r>
          </w:p>
          <w:p w14:paraId="30289FEC" w14:textId="08DDA464" w:rsidR="00DB4F29" w:rsidRPr="00AD4CAF" w:rsidRDefault="00525B5D" w:rsidP="00525B5D">
            <w:pPr>
              <w:spacing w:line="312" w:lineRule="auto"/>
              <w:rPr>
                <w:rFonts w:ascii="Arial" w:eastAsia="Times New Roman" w:hAnsi="Arial" w:cs="Arial"/>
                <w:color w:val="231F20"/>
                <w:lang w:eastAsia="en-GB"/>
              </w:rPr>
            </w:pPr>
            <w:r w:rsidRPr="00525B5D">
              <w:rPr>
                <w:rFonts w:ascii="Arial" w:eastAsia="Times New Roman" w:hAnsi="Arial" w:cs="Arial"/>
                <w:color w:val="231F20"/>
                <w:lang w:eastAsia="en-GB"/>
              </w:rPr>
              <w:t>• Not to be subject automated decision-taking or profiling</w:t>
            </w:r>
          </w:p>
        </w:tc>
      </w:tr>
      <w:tr w:rsidR="00DB4F29" w14:paraId="562F6B8A" w14:textId="77777777" w:rsidTr="007E4B96">
        <w:tc>
          <w:tcPr>
            <w:tcW w:w="2518" w:type="dxa"/>
          </w:tcPr>
          <w:p w14:paraId="1215CB35" w14:textId="77777777" w:rsidR="00DB4F29" w:rsidRPr="00DA3EDA" w:rsidRDefault="00DB4F29">
            <w:pPr>
              <w:rPr>
                <w:rFonts w:ascii="Arial" w:hAnsi="Arial" w:cs="Arial"/>
                <w:b/>
              </w:rPr>
            </w:pPr>
            <w:r w:rsidRPr="00DA3EDA">
              <w:rPr>
                <w:rFonts w:ascii="Arial" w:hAnsi="Arial" w:cs="Arial"/>
                <w:b/>
              </w:rPr>
              <w:t>How long we will keep the information</w:t>
            </w:r>
          </w:p>
          <w:p w14:paraId="69216766" w14:textId="77777777" w:rsidR="00DB4F29" w:rsidRPr="00DA3EDA" w:rsidRDefault="00DB4F29">
            <w:pPr>
              <w:rPr>
                <w:rFonts w:ascii="Arial" w:hAnsi="Arial" w:cs="Arial"/>
                <w:b/>
              </w:rPr>
            </w:pPr>
          </w:p>
          <w:p w14:paraId="4188A845" w14:textId="77777777" w:rsidR="00DB4F29" w:rsidRPr="00DA3EDA" w:rsidRDefault="00DB4F29">
            <w:pPr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6374F1C3" w14:textId="77777777" w:rsidR="0062497F" w:rsidRDefault="0062497F" w:rsidP="0062497F">
            <w:pPr>
              <w:spacing w:before="60" w:line="276" w:lineRule="auto"/>
              <w:jc w:val="both"/>
              <w:rPr>
                <w:rFonts w:ascii="Arial" w:eastAsia="Times New Roman" w:hAnsi="Arial" w:cs="Arial"/>
                <w:lang w:val="en" w:eastAsia="en-GB"/>
              </w:rPr>
            </w:pPr>
            <w:r w:rsidRPr="00C44A0F">
              <w:rPr>
                <w:rFonts w:ascii="Arial" w:eastAsia="Times New Roman" w:hAnsi="Arial" w:cs="Arial"/>
                <w:lang w:val="en" w:eastAsia="en-GB"/>
              </w:rPr>
              <w:t xml:space="preserve">Your personal data will be </w:t>
            </w:r>
            <w:r>
              <w:rPr>
                <w:rFonts w:ascii="Arial" w:eastAsia="Times New Roman" w:hAnsi="Arial" w:cs="Arial"/>
                <w:lang w:val="en" w:eastAsia="en-GB"/>
              </w:rPr>
              <w:t>retained on</w:t>
            </w:r>
            <w:r w:rsidRPr="00C44A0F">
              <w:rPr>
                <w:rFonts w:ascii="Arial" w:eastAsia="Times New Roman" w:hAnsi="Arial" w:cs="Arial"/>
                <w:lang w:val="en" w:eastAsia="en-GB"/>
              </w:rPr>
              <w:t xml:space="preserve"> our systems and files in line with the Records Management Code of Practice </w:t>
            </w:r>
            <w:r>
              <w:rPr>
                <w:rFonts w:ascii="Arial" w:eastAsia="Times New Roman" w:hAnsi="Arial" w:cs="Arial"/>
                <w:lang w:val="en" w:eastAsia="en-GB"/>
              </w:rPr>
              <w:t>2021.</w:t>
            </w:r>
          </w:p>
          <w:p w14:paraId="05603073" w14:textId="186BB7F5" w:rsidR="00A7430D" w:rsidRPr="00CB3444" w:rsidRDefault="0062497F" w:rsidP="0062497F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hyperlink r:id="rId8" w:history="1">
              <w:r w:rsidRPr="00291A82">
                <w:rPr>
                  <w:rFonts w:ascii="Arial" w:hAnsi="Arial" w:cs="Arial"/>
                  <w:color w:val="0000FF"/>
                  <w:u w:val="single"/>
                </w:rPr>
                <w:t>Records Management Code of Practice - NHS Transformation Directorate (nhsx.nhs.uk)</w:t>
              </w:r>
            </w:hyperlink>
          </w:p>
        </w:tc>
      </w:tr>
    </w:tbl>
    <w:p w14:paraId="743D7D13" w14:textId="77777777" w:rsidR="007E4B96" w:rsidRPr="007E4B96" w:rsidRDefault="007E4B96">
      <w:pPr>
        <w:rPr>
          <w:sz w:val="28"/>
          <w:szCs w:val="28"/>
        </w:rPr>
      </w:pPr>
    </w:p>
    <w:sectPr w:rsidR="007E4B96" w:rsidRPr="007E4B96" w:rsidSect="00F1565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40DA" w14:textId="77777777" w:rsidR="00DE5CA8" w:rsidRDefault="00DE5CA8" w:rsidP="007E4B96">
      <w:pPr>
        <w:spacing w:after="0" w:line="240" w:lineRule="auto"/>
      </w:pPr>
      <w:r>
        <w:separator/>
      </w:r>
    </w:p>
  </w:endnote>
  <w:endnote w:type="continuationSeparator" w:id="0">
    <w:p w14:paraId="6FAED810" w14:textId="77777777" w:rsidR="00DE5CA8" w:rsidRDefault="00DE5CA8" w:rsidP="007E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A3BE" w14:textId="50644ABB" w:rsidR="00F26860" w:rsidRPr="00F15657" w:rsidRDefault="00033E53" w:rsidP="00F26860">
    <w:pPr>
      <w:pStyle w:val="Footer"/>
      <w:rPr>
        <w:rFonts w:ascii="Arial" w:hAnsi="Arial" w:cs="Arial"/>
        <w:sz w:val="16"/>
        <w:szCs w:val="16"/>
      </w:rPr>
    </w:pPr>
    <w:bookmarkStart w:id="0" w:name="_Hlk184653342"/>
    <w:r>
      <w:rPr>
        <w:rFonts w:ascii="Arial" w:hAnsi="Arial" w:cs="Arial"/>
        <w:sz w:val="16"/>
        <w:szCs w:val="16"/>
      </w:rPr>
      <w:t>October 2025</w:t>
    </w:r>
    <w:r w:rsidR="00F26860" w:rsidRPr="00F15657">
      <w:rPr>
        <w:rFonts w:ascii="Arial" w:hAnsi="Arial" w:cs="Arial"/>
        <w:sz w:val="16"/>
        <w:szCs w:val="16"/>
      </w:rPr>
      <w:t xml:space="preserve">- </w:t>
    </w:r>
    <w:r w:rsidR="00F26860">
      <w:rPr>
        <w:rFonts w:ascii="Arial" w:hAnsi="Arial" w:cs="Arial"/>
        <w:sz w:val="16"/>
        <w:szCs w:val="16"/>
      </w:rPr>
      <w:t>Final V1.</w:t>
    </w:r>
    <w:r w:rsidR="008D48B4">
      <w:rPr>
        <w:rFonts w:ascii="Arial" w:hAnsi="Arial" w:cs="Arial"/>
        <w:sz w:val="16"/>
        <w:szCs w:val="16"/>
      </w:rPr>
      <w:t>3</w:t>
    </w:r>
  </w:p>
  <w:bookmarkEnd w:id="0"/>
  <w:p w14:paraId="03C157AC" w14:textId="77777777" w:rsidR="00F26860" w:rsidRPr="00F26860" w:rsidRDefault="00F26860" w:rsidP="00F26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73F" w14:textId="50678132" w:rsidR="0062497F" w:rsidRPr="00F15657" w:rsidRDefault="00033E53" w:rsidP="0062497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 2025</w:t>
    </w:r>
    <w:r w:rsidR="0062497F" w:rsidRPr="00F15657">
      <w:rPr>
        <w:rFonts w:ascii="Arial" w:hAnsi="Arial" w:cs="Arial"/>
        <w:sz w:val="16"/>
        <w:szCs w:val="16"/>
      </w:rPr>
      <w:t xml:space="preserve">- </w:t>
    </w:r>
    <w:r w:rsidR="0062497F">
      <w:rPr>
        <w:rFonts w:ascii="Arial" w:hAnsi="Arial" w:cs="Arial"/>
        <w:sz w:val="16"/>
        <w:szCs w:val="16"/>
      </w:rPr>
      <w:t>Final V1.</w:t>
    </w:r>
    <w:r w:rsidR="008D48B4">
      <w:rPr>
        <w:rFonts w:ascii="Arial" w:hAnsi="Arial" w:cs="Arial"/>
        <w:sz w:val="16"/>
        <w:szCs w:val="16"/>
      </w:rPr>
      <w:t>3</w:t>
    </w:r>
  </w:p>
  <w:p w14:paraId="49FEC239" w14:textId="1692C9D8" w:rsidR="00F15657" w:rsidRPr="0062497F" w:rsidRDefault="00F15657" w:rsidP="00624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B1FD" w14:textId="77777777" w:rsidR="00DE5CA8" w:rsidRDefault="00DE5CA8" w:rsidP="007E4B96">
      <w:pPr>
        <w:spacing w:after="0" w:line="240" w:lineRule="auto"/>
      </w:pPr>
      <w:r>
        <w:separator/>
      </w:r>
    </w:p>
  </w:footnote>
  <w:footnote w:type="continuationSeparator" w:id="0">
    <w:p w14:paraId="44A0CE26" w14:textId="77777777" w:rsidR="00DE5CA8" w:rsidRDefault="00DE5CA8" w:rsidP="007E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EC97" w14:textId="4F0027BA" w:rsidR="007E4B96" w:rsidRPr="00B106EF" w:rsidRDefault="007E4B96" w:rsidP="00B106E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0406" w14:textId="40F6E570" w:rsidR="00F15657" w:rsidRDefault="00F15657" w:rsidP="00F15657">
    <w:pPr>
      <w:pStyle w:val="Header"/>
      <w:jc w:val="right"/>
    </w:pPr>
    <w:r>
      <w:rPr>
        <w:noProof/>
      </w:rPr>
      <w:drawing>
        <wp:inline distT="0" distB="0" distL="0" distR="0" wp14:anchorId="5ACCD360" wp14:editId="7ED5F3F8">
          <wp:extent cx="2258060" cy="149225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E0D"/>
    <w:multiLevelType w:val="multilevel"/>
    <w:tmpl w:val="F78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A3D82"/>
    <w:multiLevelType w:val="hybridMultilevel"/>
    <w:tmpl w:val="F50697E2"/>
    <w:lvl w:ilvl="0" w:tplc="8586D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4560"/>
    <w:multiLevelType w:val="multilevel"/>
    <w:tmpl w:val="922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87B28"/>
    <w:multiLevelType w:val="hybridMultilevel"/>
    <w:tmpl w:val="0B8A3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252695">
    <w:abstractNumId w:val="2"/>
  </w:num>
  <w:num w:numId="2" w16cid:durableId="1138689135">
    <w:abstractNumId w:val="0"/>
  </w:num>
  <w:num w:numId="3" w16cid:durableId="723331888">
    <w:abstractNumId w:val="1"/>
  </w:num>
  <w:num w:numId="4" w16cid:durableId="12073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96"/>
    <w:rsid w:val="00033E53"/>
    <w:rsid w:val="0009583B"/>
    <w:rsid w:val="000B5FCE"/>
    <w:rsid w:val="00150651"/>
    <w:rsid w:val="00170A63"/>
    <w:rsid w:val="001A1D4B"/>
    <w:rsid w:val="00205137"/>
    <w:rsid w:val="00222318"/>
    <w:rsid w:val="00251F9A"/>
    <w:rsid w:val="002B5DA5"/>
    <w:rsid w:val="002E25F3"/>
    <w:rsid w:val="002E6FED"/>
    <w:rsid w:val="002F33E5"/>
    <w:rsid w:val="002F63CE"/>
    <w:rsid w:val="00330DC6"/>
    <w:rsid w:val="00383C64"/>
    <w:rsid w:val="00385DF5"/>
    <w:rsid w:val="004125E5"/>
    <w:rsid w:val="004218BF"/>
    <w:rsid w:val="00461F2C"/>
    <w:rsid w:val="004775F6"/>
    <w:rsid w:val="00484B65"/>
    <w:rsid w:val="00517066"/>
    <w:rsid w:val="00525B5D"/>
    <w:rsid w:val="005A1E3F"/>
    <w:rsid w:val="005A2AEF"/>
    <w:rsid w:val="0062497F"/>
    <w:rsid w:val="00653763"/>
    <w:rsid w:val="006661B3"/>
    <w:rsid w:val="006A470A"/>
    <w:rsid w:val="006B4A07"/>
    <w:rsid w:val="006F1071"/>
    <w:rsid w:val="006F77D2"/>
    <w:rsid w:val="00722C85"/>
    <w:rsid w:val="007450AC"/>
    <w:rsid w:val="0075433B"/>
    <w:rsid w:val="007565D7"/>
    <w:rsid w:val="007E4B96"/>
    <w:rsid w:val="007F0767"/>
    <w:rsid w:val="008D48B4"/>
    <w:rsid w:val="008E47E6"/>
    <w:rsid w:val="008F1204"/>
    <w:rsid w:val="009613B8"/>
    <w:rsid w:val="00975D3C"/>
    <w:rsid w:val="00981E00"/>
    <w:rsid w:val="00991C38"/>
    <w:rsid w:val="009E6496"/>
    <w:rsid w:val="00A353CD"/>
    <w:rsid w:val="00A40E96"/>
    <w:rsid w:val="00A61863"/>
    <w:rsid w:val="00A638CA"/>
    <w:rsid w:val="00A65867"/>
    <w:rsid w:val="00A715B5"/>
    <w:rsid w:val="00A7430D"/>
    <w:rsid w:val="00AB2A99"/>
    <w:rsid w:val="00AD4CAF"/>
    <w:rsid w:val="00AD7AB9"/>
    <w:rsid w:val="00B0208A"/>
    <w:rsid w:val="00B106EF"/>
    <w:rsid w:val="00B32DF7"/>
    <w:rsid w:val="00BB43EA"/>
    <w:rsid w:val="00BB56E7"/>
    <w:rsid w:val="00C31054"/>
    <w:rsid w:val="00C44A0F"/>
    <w:rsid w:val="00C746B1"/>
    <w:rsid w:val="00C86DE9"/>
    <w:rsid w:val="00CB3444"/>
    <w:rsid w:val="00CD6BD8"/>
    <w:rsid w:val="00CF6EAE"/>
    <w:rsid w:val="00CF785B"/>
    <w:rsid w:val="00D16415"/>
    <w:rsid w:val="00D3069D"/>
    <w:rsid w:val="00D508CB"/>
    <w:rsid w:val="00D6333E"/>
    <w:rsid w:val="00DA3EDA"/>
    <w:rsid w:val="00DB4F29"/>
    <w:rsid w:val="00DC0E91"/>
    <w:rsid w:val="00DD50D2"/>
    <w:rsid w:val="00DE5CA8"/>
    <w:rsid w:val="00E0008B"/>
    <w:rsid w:val="00E36737"/>
    <w:rsid w:val="00ED201E"/>
    <w:rsid w:val="00ED6288"/>
    <w:rsid w:val="00F15657"/>
    <w:rsid w:val="00F267A2"/>
    <w:rsid w:val="00F26860"/>
    <w:rsid w:val="00F81D69"/>
    <w:rsid w:val="00F824B9"/>
    <w:rsid w:val="00F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53411"/>
  <w15:docId w15:val="{0976CFA7-DDEF-44B0-B45E-BBDAC63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96"/>
  </w:style>
  <w:style w:type="paragraph" w:styleId="Footer">
    <w:name w:val="footer"/>
    <w:basedOn w:val="Normal"/>
    <w:link w:val="FooterChar"/>
    <w:uiPriority w:val="99"/>
    <w:unhideWhenUsed/>
    <w:rsid w:val="007E4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96"/>
  </w:style>
  <w:style w:type="paragraph" w:styleId="BalloonText">
    <w:name w:val="Balloon Text"/>
    <w:basedOn w:val="Normal"/>
    <w:link w:val="BalloonTextChar"/>
    <w:uiPriority w:val="99"/>
    <w:semiHidden/>
    <w:unhideWhenUsed/>
    <w:rsid w:val="007E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4A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1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F2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F10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4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x.nhs.uk/information-governance/guidance/records-management-co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30FC-949F-4ADD-83A8-81FF71E4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2507</Characters>
  <Application>Microsoft Office Word</Application>
  <DocSecurity>0</DocSecurity>
  <Lines>104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jackbro</dc:creator>
  <cp:lastModifiedBy>JACKSON, Bronwyn (NHS NOTTINGHAM AND NOTTINGHAMSHIRE ICB - 52R)</cp:lastModifiedBy>
  <cp:revision>5</cp:revision>
  <dcterms:created xsi:type="dcterms:W3CDTF">2025-10-28T08:40:00Z</dcterms:created>
  <dcterms:modified xsi:type="dcterms:W3CDTF">2025-10-28T10:42:00Z</dcterms:modified>
</cp:coreProperties>
</file>