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071620357"/>
        <w:docPartObj>
          <w:docPartGallery w:val="Cover Pages"/>
          <w:docPartUnique/>
        </w:docPartObj>
      </w:sdtPr>
      <w:sdtContent>
        <w:p w14:paraId="7F8D5EBB" w14:textId="75156F43" w:rsidR="009F5C91" w:rsidRPr="00C53FC9" w:rsidRDefault="003065D0">
          <w:pPr>
            <w:rPr>
              <w:rFonts w:ascii="Calibri" w:hAnsi="Calibri" w:cs="Calibri"/>
            </w:rPr>
          </w:pPr>
          <w:r>
            <w:rPr>
              <w:rFonts w:ascii="Calibri" w:hAnsi="Calibri" w:cs="Calibri"/>
              <w:noProof/>
            </w:rPr>
            <w:drawing>
              <wp:anchor distT="0" distB="0" distL="114300" distR="114300" simplePos="0" relativeHeight="251664384" behindDoc="0" locked="0" layoutInCell="1" allowOverlap="1" wp14:anchorId="0186AB1E" wp14:editId="6E28FB81">
                <wp:simplePos x="0" y="0"/>
                <wp:positionH relativeFrom="column">
                  <wp:posOffset>2968625</wp:posOffset>
                </wp:positionH>
                <wp:positionV relativeFrom="paragraph">
                  <wp:posOffset>-495300</wp:posOffset>
                </wp:positionV>
                <wp:extent cx="3342005" cy="761977"/>
                <wp:effectExtent l="0" t="0" r="0" b="0"/>
                <wp:wrapNone/>
                <wp:docPr id="1787841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41428"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2005" cy="761977"/>
                        </a:xfrm>
                        <a:prstGeom prst="rect">
                          <a:avLst/>
                        </a:prstGeom>
                        <a:noFill/>
                      </pic:spPr>
                    </pic:pic>
                  </a:graphicData>
                </a:graphic>
                <wp14:sizeRelH relativeFrom="page">
                  <wp14:pctWidth>0</wp14:pctWidth>
                </wp14:sizeRelH>
                <wp14:sizeRelV relativeFrom="page">
                  <wp14:pctHeight>0</wp14:pctHeight>
                </wp14:sizeRelV>
              </wp:anchor>
            </w:drawing>
          </w:r>
          <w:r w:rsidR="009F5C91" w:rsidRPr="00C53FC9">
            <w:rPr>
              <w:rFonts w:ascii="Calibri" w:hAnsi="Calibri" w:cs="Calibri"/>
              <w:noProof/>
            </w:rPr>
            <mc:AlternateContent>
              <mc:Choice Requires="wps">
                <w:drawing>
                  <wp:anchor distT="0" distB="0" distL="114300" distR="114300" simplePos="0" relativeHeight="251660288" behindDoc="0" locked="0" layoutInCell="1" allowOverlap="1" wp14:anchorId="1E311D67" wp14:editId="525A46F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DC365" w14:textId="5E164193" w:rsidR="009F5C91" w:rsidRDefault="007D1B6F">
                                <w:pPr>
                                  <w:pStyle w:val="NoSpacing"/>
                                  <w:jc w:val="right"/>
                                  <w:rPr>
                                    <w:color w:val="595959" w:themeColor="text1" w:themeTint="A6"/>
                                    <w:sz w:val="20"/>
                                    <w:szCs w:val="20"/>
                                  </w:rPr>
                                </w:pPr>
                                <w:r>
                                  <w:rPr>
                                    <w:color w:val="595959" w:themeColor="text1" w:themeTint="A6"/>
                                    <w:sz w:val="20"/>
                                    <w:szCs w:val="20"/>
                                  </w:rPr>
                                  <w:t>Snapshot date: 31 March 2025</w:t>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     </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E311D67" id="_x0000_t202" coordsize="21600,21600" o:spt="202" path="m,l,21600r21600,l21600,xe">
                    <v:stroke joinstyle="miter"/>
                    <v:path gradientshapeok="t" o:connecttype="rect"/>
                  </v:shapetype>
                  <v:shape id="Text Box 53" o:spid="_x0000_s1026" type="#_x0000_t202" style="position:absolute;margin-left:0;margin-top:0;width:8in;height:79.5pt;z-index:25166028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30BDC365" w14:textId="5E164193" w:rsidR="009F5C91" w:rsidRDefault="007D1B6F">
                          <w:pPr>
                            <w:pStyle w:val="NoSpacing"/>
                            <w:jc w:val="right"/>
                            <w:rPr>
                              <w:color w:val="595959" w:themeColor="text1" w:themeTint="A6"/>
                              <w:sz w:val="20"/>
                              <w:szCs w:val="20"/>
                            </w:rPr>
                          </w:pPr>
                          <w:r>
                            <w:rPr>
                              <w:color w:val="595959" w:themeColor="text1" w:themeTint="A6"/>
                              <w:sz w:val="20"/>
                              <w:szCs w:val="20"/>
                            </w:rPr>
                            <w:t>Snapshot date: 31 March 2025</w:t>
                          </w:r>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r>
                                <w:rPr>
                                  <w:color w:val="595959" w:themeColor="text1" w:themeTint="A6"/>
                                  <w:sz w:val="20"/>
                                  <w:szCs w:val="20"/>
                                </w:rPr>
                                <w:t xml:space="preserve">     </w:t>
                              </w:r>
                            </w:sdtContent>
                          </w:sdt>
                        </w:p>
                      </w:txbxContent>
                    </v:textbox>
                    <w10:wrap type="square" anchorx="page" anchory="page"/>
                  </v:shape>
                </w:pict>
              </mc:Fallback>
            </mc:AlternateContent>
          </w:r>
          <w:r w:rsidR="009F5C91" w:rsidRPr="00C53FC9">
            <w:rPr>
              <w:rFonts w:ascii="Calibri" w:hAnsi="Calibri" w:cs="Calibri"/>
              <w:noProof/>
            </w:rPr>
            <mc:AlternateContent>
              <mc:Choice Requires="wps">
                <w:drawing>
                  <wp:anchor distT="0" distB="0" distL="114300" distR="114300" simplePos="0" relativeHeight="251653120" behindDoc="0" locked="0" layoutInCell="1" allowOverlap="1" wp14:anchorId="3E4940E3" wp14:editId="4B6205C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AE24C" w14:textId="426E3B3C" w:rsidR="009F5C91" w:rsidRDefault="0000000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01CE1">
                                      <w:rPr>
                                        <w:caps/>
                                        <w:color w:val="156082" w:themeColor="accent1"/>
                                        <w:sz w:val="64"/>
                                        <w:szCs w:val="64"/>
                                      </w:rPr>
                                      <w:t>Gender Pay Gap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F3866BC" w14:textId="524EBE79" w:rsidR="009F5C91" w:rsidRDefault="00033E4A">
                                    <w:pPr>
                                      <w:jc w:val="right"/>
                                      <w:rPr>
                                        <w:smallCaps/>
                                        <w:color w:val="404040" w:themeColor="text1" w:themeTint="BF"/>
                                        <w:sz w:val="36"/>
                                        <w:szCs w:val="36"/>
                                      </w:rPr>
                                    </w:pPr>
                                    <w:r>
                                      <w:rPr>
                                        <w:color w:val="404040" w:themeColor="text1" w:themeTint="BF"/>
                                        <w:sz w:val="36"/>
                                        <w:szCs w:val="36"/>
                                      </w:rPr>
                                      <w:t xml:space="preserve">NHS </w:t>
                                    </w:r>
                                    <w:r w:rsidR="002B56EB">
                                      <w:rPr>
                                        <w:color w:val="404040" w:themeColor="text1" w:themeTint="BF"/>
                                        <w:sz w:val="36"/>
                                        <w:szCs w:val="36"/>
                                      </w:rPr>
                                      <w:t>Nottingham and Nottinghamshire ICB</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E4940E3" id="Text Box 54" o:spid="_x0000_s1027" type="#_x0000_t202" style="position:absolute;margin-left:0;margin-top:0;width:8in;height:286.5pt;z-index:25165312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732AE24C" w14:textId="426E3B3C" w:rsidR="009F5C91" w:rsidRDefault="0000000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01CE1">
                                <w:rPr>
                                  <w:caps/>
                                  <w:color w:val="156082" w:themeColor="accent1"/>
                                  <w:sz w:val="64"/>
                                  <w:szCs w:val="64"/>
                                </w:rPr>
                                <w:t>Gender Pay Gap Report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4F3866BC" w14:textId="524EBE79" w:rsidR="009F5C91" w:rsidRDefault="00033E4A">
                              <w:pPr>
                                <w:jc w:val="right"/>
                                <w:rPr>
                                  <w:smallCaps/>
                                  <w:color w:val="404040" w:themeColor="text1" w:themeTint="BF"/>
                                  <w:sz w:val="36"/>
                                  <w:szCs w:val="36"/>
                                </w:rPr>
                              </w:pPr>
                              <w:r>
                                <w:rPr>
                                  <w:color w:val="404040" w:themeColor="text1" w:themeTint="BF"/>
                                  <w:sz w:val="36"/>
                                  <w:szCs w:val="36"/>
                                </w:rPr>
                                <w:t xml:space="preserve">NHS </w:t>
                              </w:r>
                              <w:r w:rsidR="002B56EB">
                                <w:rPr>
                                  <w:color w:val="404040" w:themeColor="text1" w:themeTint="BF"/>
                                  <w:sz w:val="36"/>
                                  <w:szCs w:val="36"/>
                                </w:rPr>
                                <w:t>Nottingham and Nottinghamshire ICB</w:t>
                              </w:r>
                            </w:p>
                          </w:sdtContent>
                        </w:sdt>
                      </w:txbxContent>
                    </v:textbox>
                    <w10:wrap type="square" anchorx="page" anchory="page"/>
                  </v:shape>
                </w:pict>
              </mc:Fallback>
            </mc:AlternateContent>
          </w:r>
        </w:p>
        <w:p w14:paraId="0C409E27" w14:textId="0CC7194F" w:rsidR="009F5C91" w:rsidRPr="00C53FC9" w:rsidRDefault="009F5C91">
          <w:pPr>
            <w:rPr>
              <w:rFonts w:ascii="Calibri" w:hAnsi="Calibri" w:cs="Calibri"/>
            </w:rPr>
          </w:pPr>
          <w:r w:rsidRPr="00C53FC9">
            <w:rPr>
              <w:rFonts w:ascii="Calibri" w:hAnsi="Calibri" w:cs="Calibri"/>
            </w:rPr>
            <w:br w:type="page"/>
          </w:r>
        </w:p>
      </w:sdtContent>
    </w:sdt>
    <w:sdt>
      <w:sdtPr>
        <w:rPr>
          <w:rFonts w:ascii="Calibri" w:eastAsiaTheme="minorHAnsi" w:hAnsi="Calibri" w:cs="Calibri"/>
          <w:color w:val="auto"/>
          <w:kern w:val="2"/>
          <w:sz w:val="22"/>
          <w:szCs w:val="22"/>
          <w:lang w:val="en-GB"/>
          <w14:ligatures w14:val="standardContextual"/>
        </w:rPr>
        <w:id w:val="130671026"/>
        <w:docPartObj>
          <w:docPartGallery w:val="Table of Contents"/>
          <w:docPartUnique/>
        </w:docPartObj>
      </w:sdtPr>
      <w:sdtEndPr>
        <w:rPr>
          <w:b/>
          <w:bCs/>
          <w:noProof/>
        </w:rPr>
      </w:sdtEndPr>
      <w:sdtContent>
        <w:p w14:paraId="45980634" w14:textId="337AAA50" w:rsidR="00033E4A" w:rsidRPr="00C53FC9" w:rsidRDefault="00033E4A">
          <w:pPr>
            <w:pStyle w:val="TOCHeading"/>
            <w:rPr>
              <w:rFonts w:ascii="Calibri" w:hAnsi="Calibri" w:cs="Calibri"/>
            </w:rPr>
          </w:pPr>
          <w:r w:rsidRPr="00C53FC9">
            <w:rPr>
              <w:rFonts w:ascii="Calibri" w:hAnsi="Calibri" w:cs="Calibri"/>
            </w:rPr>
            <w:t>Contents</w:t>
          </w:r>
        </w:p>
        <w:p w14:paraId="0BFD05FC" w14:textId="5CD4EA82" w:rsidR="00C440BD" w:rsidRPr="00C53FC9" w:rsidRDefault="00033E4A">
          <w:pPr>
            <w:pStyle w:val="TOC1"/>
            <w:tabs>
              <w:tab w:val="left" w:pos="440"/>
              <w:tab w:val="right" w:leader="dot" w:pos="9016"/>
            </w:tabs>
            <w:rPr>
              <w:rFonts w:ascii="Calibri" w:eastAsiaTheme="minorEastAsia" w:hAnsi="Calibri" w:cs="Calibri"/>
              <w:noProof/>
              <w:sz w:val="24"/>
              <w:szCs w:val="24"/>
              <w:lang w:eastAsia="en-GB"/>
            </w:rPr>
          </w:pPr>
          <w:r w:rsidRPr="00C53FC9">
            <w:rPr>
              <w:rFonts w:ascii="Calibri" w:hAnsi="Calibri" w:cs="Calibri"/>
            </w:rPr>
            <w:fldChar w:fldCharType="begin"/>
          </w:r>
          <w:r w:rsidRPr="00C53FC9">
            <w:rPr>
              <w:rFonts w:ascii="Calibri" w:hAnsi="Calibri" w:cs="Calibri"/>
            </w:rPr>
            <w:instrText xml:space="preserve"> TOC \o "1-3" \h \z \u </w:instrText>
          </w:r>
          <w:r w:rsidRPr="00C53FC9">
            <w:rPr>
              <w:rFonts w:ascii="Calibri" w:hAnsi="Calibri" w:cs="Calibri"/>
            </w:rPr>
            <w:fldChar w:fldCharType="separate"/>
          </w:r>
          <w:hyperlink w:anchor="_Toc200968390" w:history="1">
            <w:r w:rsidR="00C440BD" w:rsidRPr="00C53FC9">
              <w:rPr>
                <w:rStyle w:val="Hyperlink"/>
                <w:rFonts w:ascii="Calibri" w:hAnsi="Calibri" w:cs="Calibri"/>
                <w:noProof/>
              </w:rPr>
              <w:t>1.</w:t>
            </w:r>
            <w:r w:rsidR="00C440BD" w:rsidRPr="00C53FC9">
              <w:rPr>
                <w:rFonts w:ascii="Calibri" w:eastAsiaTheme="minorEastAsia" w:hAnsi="Calibri" w:cs="Calibri"/>
                <w:noProof/>
                <w:sz w:val="24"/>
                <w:szCs w:val="24"/>
                <w:lang w:eastAsia="en-GB"/>
              </w:rPr>
              <w:tab/>
            </w:r>
            <w:r w:rsidR="00C440BD" w:rsidRPr="00C53FC9">
              <w:rPr>
                <w:rStyle w:val="Hyperlink"/>
                <w:rFonts w:ascii="Calibri" w:hAnsi="Calibri" w:cs="Calibri"/>
                <w:noProof/>
              </w:rPr>
              <w:t>Introduction</w:t>
            </w:r>
            <w:r w:rsidR="00C440BD" w:rsidRPr="00C53FC9">
              <w:rPr>
                <w:rFonts w:ascii="Calibri" w:hAnsi="Calibri" w:cs="Calibri"/>
                <w:noProof/>
                <w:webHidden/>
              </w:rPr>
              <w:tab/>
            </w:r>
            <w:r w:rsidR="00C440BD" w:rsidRPr="00C53FC9">
              <w:rPr>
                <w:rFonts w:ascii="Calibri" w:hAnsi="Calibri" w:cs="Calibri"/>
                <w:noProof/>
                <w:webHidden/>
              </w:rPr>
              <w:fldChar w:fldCharType="begin"/>
            </w:r>
            <w:r w:rsidR="00C440BD" w:rsidRPr="00C53FC9">
              <w:rPr>
                <w:rFonts w:ascii="Calibri" w:hAnsi="Calibri" w:cs="Calibri"/>
                <w:noProof/>
                <w:webHidden/>
              </w:rPr>
              <w:instrText xml:space="preserve"> PAGEREF _Toc200968390 \h </w:instrText>
            </w:r>
            <w:r w:rsidR="00C440BD" w:rsidRPr="00C53FC9">
              <w:rPr>
                <w:rFonts w:ascii="Calibri" w:hAnsi="Calibri" w:cs="Calibri"/>
                <w:noProof/>
                <w:webHidden/>
              </w:rPr>
            </w:r>
            <w:r w:rsidR="00C440BD" w:rsidRPr="00C53FC9">
              <w:rPr>
                <w:rFonts w:ascii="Calibri" w:hAnsi="Calibri" w:cs="Calibri"/>
                <w:noProof/>
                <w:webHidden/>
              </w:rPr>
              <w:fldChar w:fldCharType="separate"/>
            </w:r>
            <w:r w:rsidR="00B42F48">
              <w:rPr>
                <w:rFonts w:ascii="Calibri" w:hAnsi="Calibri" w:cs="Calibri"/>
                <w:noProof/>
                <w:webHidden/>
              </w:rPr>
              <w:t>2</w:t>
            </w:r>
            <w:r w:rsidR="00C440BD" w:rsidRPr="00C53FC9">
              <w:rPr>
                <w:rFonts w:ascii="Calibri" w:hAnsi="Calibri" w:cs="Calibri"/>
                <w:noProof/>
                <w:webHidden/>
              </w:rPr>
              <w:fldChar w:fldCharType="end"/>
            </w:r>
          </w:hyperlink>
        </w:p>
        <w:p w14:paraId="04DB4122" w14:textId="6E3CE31E" w:rsidR="00C440BD" w:rsidRPr="00C53FC9" w:rsidRDefault="00C440BD">
          <w:pPr>
            <w:pStyle w:val="TOC1"/>
            <w:tabs>
              <w:tab w:val="left" w:pos="440"/>
              <w:tab w:val="right" w:leader="dot" w:pos="9016"/>
            </w:tabs>
            <w:rPr>
              <w:rFonts w:ascii="Calibri" w:eastAsiaTheme="minorEastAsia" w:hAnsi="Calibri" w:cs="Calibri"/>
              <w:noProof/>
              <w:sz w:val="24"/>
              <w:szCs w:val="24"/>
              <w:lang w:eastAsia="en-GB"/>
            </w:rPr>
          </w:pPr>
          <w:hyperlink w:anchor="_Toc200968391" w:history="1">
            <w:r w:rsidRPr="00C53FC9">
              <w:rPr>
                <w:rStyle w:val="Hyperlink"/>
                <w:rFonts w:ascii="Calibri" w:hAnsi="Calibri" w:cs="Calibri"/>
                <w:noProof/>
              </w:rPr>
              <w:t>2.</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Our Commitment to Equality, Diversity and Inclusion</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_Toc200968391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2</w:t>
            </w:r>
            <w:r w:rsidRPr="00C53FC9">
              <w:rPr>
                <w:rFonts w:ascii="Calibri" w:hAnsi="Calibri" w:cs="Calibri"/>
                <w:noProof/>
                <w:webHidden/>
              </w:rPr>
              <w:fldChar w:fldCharType="end"/>
            </w:r>
          </w:hyperlink>
        </w:p>
        <w:p w14:paraId="6A5E6BBF" w14:textId="675A98D0" w:rsidR="00C440BD" w:rsidRPr="00C53FC9" w:rsidRDefault="00C440BD">
          <w:pPr>
            <w:pStyle w:val="TOC1"/>
            <w:tabs>
              <w:tab w:val="left" w:pos="440"/>
              <w:tab w:val="right" w:leader="dot" w:pos="9016"/>
            </w:tabs>
            <w:rPr>
              <w:rFonts w:ascii="Calibri" w:eastAsiaTheme="minorEastAsia" w:hAnsi="Calibri" w:cs="Calibri"/>
              <w:noProof/>
              <w:sz w:val="24"/>
              <w:szCs w:val="24"/>
              <w:lang w:eastAsia="en-GB"/>
            </w:rPr>
          </w:pPr>
          <w:hyperlink w:anchor="_Toc200968392" w:history="1">
            <w:r w:rsidRPr="00C53FC9">
              <w:rPr>
                <w:rStyle w:val="Hyperlink"/>
                <w:rFonts w:ascii="Calibri" w:hAnsi="Calibri" w:cs="Calibri"/>
                <w:noProof/>
              </w:rPr>
              <w:t>3.</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Our Gender Pay Gap Data</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_Toc200968392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3</w:t>
            </w:r>
            <w:r w:rsidRPr="00C53FC9">
              <w:rPr>
                <w:rFonts w:ascii="Calibri" w:hAnsi="Calibri" w:cs="Calibri"/>
                <w:noProof/>
                <w:webHidden/>
              </w:rPr>
              <w:fldChar w:fldCharType="end"/>
            </w:r>
          </w:hyperlink>
        </w:p>
        <w:p w14:paraId="435879A5" w14:textId="7436FE51" w:rsidR="00C440BD" w:rsidRPr="00C53FC9" w:rsidRDefault="00C440BD">
          <w:pPr>
            <w:pStyle w:val="TOC3"/>
            <w:tabs>
              <w:tab w:val="left" w:pos="960"/>
              <w:tab w:val="right" w:leader="dot" w:pos="9016"/>
            </w:tabs>
            <w:rPr>
              <w:rFonts w:ascii="Calibri" w:eastAsiaTheme="minorEastAsia" w:hAnsi="Calibri" w:cs="Calibri"/>
              <w:noProof/>
              <w:sz w:val="24"/>
              <w:szCs w:val="24"/>
              <w:lang w:eastAsia="en-GB"/>
            </w:rPr>
          </w:pPr>
          <w:hyperlink w:anchor="_Toc200968393" w:history="1">
            <w:r w:rsidRPr="00C53FC9">
              <w:rPr>
                <w:rStyle w:val="Hyperlink"/>
                <w:rFonts w:ascii="Calibri" w:hAnsi="Calibri" w:cs="Calibri"/>
                <w:noProof/>
              </w:rPr>
              <w:t>3.1</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Gender Profile</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_Toc200968393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3</w:t>
            </w:r>
            <w:r w:rsidRPr="00C53FC9">
              <w:rPr>
                <w:rFonts w:ascii="Calibri" w:hAnsi="Calibri" w:cs="Calibri"/>
                <w:noProof/>
                <w:webHidden/>
              </w:rPr>
              <w:fldChar w:fldCharType="end"/>
            </w:r>
          </w:hyperlink>
        </w:p>
        <w:p w14:paraId="343F8110" w14:textId="0A656911" w:rsidR="00C440BD" w:rsidRPr="00C53FC9" w:rsidRDefault="00C440BD">
          <w:pPr>
            <w:pStyle w:val="TOC3"/>
            <w:tabs>
              <w:tab w:val="left" w:pos="960"/>
              <w:tab w:val="right" w:leader="dot" w:pos="9016"/>
            </w:tabs>
            <w:rPr>
              <w:rFonts w:ascii="Calibri" w:eastAsiaTheme="minorEastAsia" w:hAnsi="Calibri" w:cs="Calibri"/>
              <w:noProof/>
              <w:sz w:val="24"/>
              <w:szCs w:val="24"/>
              <w:lang w:eastAsia="en-GB"/>
            </w:rPr>
          </w:pPr>
          <w:hyperlink w:anchor="_Toc200968394" w:history="1">
            <w:r w:rsidRPr="00C53FC9">
              <w:rPr>
                <w:rStyle w:val="Hyperlink"/>
                <w:rFonts w:ascii="Calibri" w:hAnsi="Calibri" w:cs="Calibri"/>
                <w:noProof/>
              </w:rPr>
              <w:t>3.2</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Gender Pay</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_Toc200968394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4</w:t>
            </w:r>
            <w:r w:rsidRPr="00C53FC9">
              <w:rPr>
                <w:rFonts w:ascii="Calibri" w:hAnsi="Calibri" w:cs="Calibri"/>
                <w:noProof/>
                <w:webHidden/>
              </w:rPr>
              <w:fldChar w:fldCharType="end"/>
            </w:r>
          </w:hyperlink>
        </w:p>
        <w:p w14:paraId="03471FA7" w14:textId="13CC19B8" w:rsidR="00C440BD" w:rsidRPr="00C53FC9" w:rsidRDefault="00C440BD">
          <w:pPr>
            <w:pStyle w:val="TOC3"/>
            <w:tabs>
              <w:tab w:val="left" w:pos="960"/>
              <w:tab w:val="right" w:leader="dot" w:pos="9016"/>
            </w:tabs>
            <w:rPr>
              <w:rFonts w:ascii="Calibri" w:eastAsiaTheme="minorEastAsia" w:hAnsi="Calibri" w:cs="Calibri"/>
              <w:noProof/>
              <w:sz w:val="24"/>
              <w:szCs w:val="24"/>
              <w:lang w:eastAsia="en-GB"/>
            </w:rPr>
          </w:pPr>
          <w:hyperlink w:anchor="_Toc200968395" w:history="1">
            <w:r w:rsidRPr="00C53FC9">
              <w:rPr>
                <w:rStyle w:val="Hyperlink"/>
                <w:rFonts w:ascii="Calibri" w:hAnsi="Calibri" w:cs="Calibri"/>
                <w:noProof/>
              </w:rPr>
              <w:t>3.3</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Gender Bonus Pay</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_Toc200968395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5</w:t>
            </w:r>
            <w:r w:rsidRPr="00C53FC9">
              <w:rPr>
                <w:rFonts w:ascii="Calibri" w:hAnsi="Calibri" w:cs="Calibri"/>
                <w:noProof/>
                <w:webHidden/>
              </w:rPr>
              <w:fldChar w:fldCharType="end"/>
            </w:r>
          </w:hyperlink>
        </w:p>
        <w:p w14:paraId="5A95FF2A" w14:textId="56D587CD" w:rsidR="00C440BD" w:rsidRPr="00C53FC9" w:rsidRDefault="00C440BD">
          <w:pPr>
            <w:pStyle w:val="TOC3"/>
            <w:tabs>
              <w:tab w:val="left" w:pos="960"/>
              <w:tab w:val="right" w:leader="dot" w:pos="9016"/>
            </w:tabs>
            <w:rPr>
              <w:rFonts w:ascii="Calibri" w:eastAsiaTheme="minorEastAsia" w:hAnsi="Calibri" w:cs="Calibri"/>
              <w:noProof/>
              <w:sz w:val="24"/>
              <w:szCs w:val="24"/>
              <w:lang w:eastAsia="en-GB"/>
            </w:rPr>
          </w:pPr>
          <w:hyperlink w:anchor="_Toc200968396" w:history="1">
            <w:r w:rsidRPr="00C53FC9">
              <w:rPr>
                <w:rStyle w:val="Hyperlink"/>
                <w:rFonts w:ascii="Calibri" w:hAnsi="Calibri" w:cs="Calibri"/>
                <w:noProof/>
              </w:rPr>
              <w:t>3.4</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Pay Distribution by Quartile</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_Toc200968396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5</w:t>
            </w:r>
            <w:r w:rsidRPr="00C53FC9">
              <w:rPr>
                <w:rFonts w:ascii="Calibri" w:hAnsi="Calibri" w:cs="Calibri"/>
                <w:noProof/>
                <w:webHidden/>
              </w:rPr>
              <w:fldChar w:fldCharType="end"/>
            </w:r>
          </w:hyperlink>
        </w:p>
        <w:p w14:paraId="476AE2A0" w14:textId="7E100A8A" w:rsidR="00C440BD" w:rsidRPr="00C53FC9" w:rsidRDefault="00C440BD">
          <w:pPr>
            <w:pStyle w:val="TOC3"/>
            <w:tabs>
              <w:tab w:val="left" w:pos="960"/>
              <w:tab w:val="right" w:leader="dot" w:pos="9016"/>
            </w:tabs>
            <w:rPr>
              <w:rFonts w:ascii="Calibri" w:eastAsiaTheme="minorEastAsia" w:hAnsi="Calibri" w:cs="Calibri"/>
              <w:noProof/>
              <w:sz w:val="24"/>
              <w:szCs w:val="24"/>
              <w:lang w:eastAsia="en-GB"/>
            </w:rPr>
          </w:pPr>
          <w:hyperlink w:anchor="_Toc200968397" w:history="1">
            <w:r w:rsidRPr="00C53FC9">
              <w:rPr>
                <w:rStyle w:val="Hyperlink"/>
                <w:rFonts w:ascii="Calibri" w:hAnsi="Calibri" w:cs="Calibri"/>
                <w:noProof/>
              </w:rPr>
              <w:t>3.5</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Gender Pay by Banding</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_Toc200968397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6</w:t>
            </w:r>
            <w:r w:rsidRPr="00C53FC9">
              <w:rPr>
                <w:rFonts w:ascii="Calibri" w:hAnsi="Calibri" w:cs="Calibri"/>
                <w:noProof/>
                <w:webHidden/>
              </w:rPr>
              <w:fldChar w:fldCharType="end"/>
            </w:r>
          </w:hyperlink>
        </w:p>
        <w:p w14:paraId="6A84E1F9" w14:textId="3E51C2EC" w:rsidR="00C440BD" w:rsidRPr="00C53FC9" w:rsidRDefault="00C440BD">
          <w:pPr>
            <w:pStyle w:val="TOC1"/>
            <w:tabs>
              <w:tab w:val="left" w:pos="440"/>
              <w:tab w:val="right" w:leader="dot" w:pos="9016"/>
            </w:tabs>
            <w:rPr>
              <w:rFonts w:ascii="Calibri" w:eastAsiaTheme="minorEastAsia" w:hAnsi="Calibri" w:cs="Calibri"/>
              <w:noProof/>
              <w:sz w:val="24"/>
              <w:szCs w:val="24"/>
              <w:lang w:eastAsia="en-GB"/>
            </w:rPr>
          </w:pPr>
          <w:hyperlink w:anchor="_Toc200968398" w:history="1">
            <w:r w:rsidRPr="00C53FC9">
              <w:rPr>
                <w:rStyle w:val="Hyperlink"/>
                <w:rFonts w:ascii="Calibri" w:hAnsi="Calibri" w:cs="Calibri"/>
                <w:noProof/>
              </w:rPr>
              <w:t>4.</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Conclusion and Recommendations</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_Toc200968398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7</w:t>
            </w:r>
            <w:r w:rsidRPr="00C53FC9">
              <w:rPr>
                <w:rFonts w:ascii="Calibri" w:hAnsi="Calibri" w:cs="Calibri"/>
                <w:noProof/>
                <w:webHidden/>
              </w:rPr>
              <w:fldChar w:fldCharType="end"/>
            </w:r>
          </w:hyperlink>
        </w:p>
        <w:p w14:paraId="06DE0319" w14:textId="29146A6B" w:rsidR="00C440BD" w:rsidRPr="00C53FC9" w:rsidRDefault="00C440BD">
          <w:pPr>
            <w:pStyle w:val="TOC1"/>
            <w:tabs>
              <w:tab w:val="left" w:pos="440"/>
              <w:tab w:val="right" w:leader="dot" w:pos="9016"/>
            </w:tabs>
            <w:rPr>
              <w:rFonts w:ascii="Calibri" w:eastAsiaTheme="minorEastAsia" w:hAnsi="Calibri" w:cs="Calibri"/>
              <w:noProof/>
              <w:sz w:val="24"/>
              <w:szCs w:val="24"/>
              <w:lang w:eastAsia="en-GB"/>
            </w:rPr>
          </w:pPr>
          <w:hyperlink w:anchor="_Toc200968399" w:history="1">
            <w:r w:rsidRPr="00C53FC9">
              <w:rPr>
                <w:rStyle w:val="Hyperlink"/>
                <w:rFonts w:ascii="Calibri" w:hAnsi="Calibri" w:cs="Calibri"/>
                <w:noProof/>
              </w:rPr>
              <w:t>5.</w:t>
            </w:r>
            <w:r w:rsidRPr="00C53FC9">
              <w:rPr>
                <w:rFonts w:ascii="Calibri" w:eastAsiaTheme="minorEastAsia" w:hAnsi="Calibri" w:cs="Calibri"/>
                <w:noProof/>
                <w:sz w:val="24"/>
                <w:szCs w:val="24"/>
                <w:lang w:eastAsia="en-GB"/>
              </w:rPr>
              <w:tab/>
            </w:r>
            <w:r w:rsidRPr="00C53FC9">
              <w:rPr>
                <w:rStyle w:val="Hyperlink"/>
                <w:rFonts w:ascii="Calibri" w:hAnsi="Calibri" w:cs="Calibri"/>
                <w:noProof/>
              </w:rPr>
              <w:t>Action Pan</w:t>
            </w:r>
            <w:r w:rsidRPr="00C53FC9">
              <w:rPr>
                <w:rFonts w:ascii="Calibri" w:hAnsi="Calibri" w:cs="Calibri"/>
                <w:noProof/>
                <w:webHidden/>
              </w:rPr>
              <w:tab/>
            </w:r>
            <w:r w:rsidRPr="00C53FC9">
              <w:rPr>
                <w:rFonts w:ascii="Calibri" w:hAnsi="Calibri" w:cs="Calibri"/>
                <w:noProof/>
                <w:webHidden/>
              </w:rPr>
              <w:fldChar w:fldCharType="begin"/>
            </w:r>
            <w:r w:rsidRPr="00C53FC9">
              <w:rPr>
                <w:rFonts w:ascii="Calibri" w:hAnsi="Calibri" w:cs="Calibri"/>
                <w:noProof/>
                <w:webHidden/>
              </w:rPr>
              <w:instrText xml:space="preserve"> PAGEREF _Toc200968399 \h </w:instrText>
            </w:r>
            <w:r w:rsidRPr="00C53FC9">
              <w:rPr>
                <w:rFonts w:ascii="Calibri" w:hAnsi="Calibri" w:cs="Calibri"/>
                <w:noProof/>
                <w:webHidden/>
              </w:rPr>
            </w:r>
            <w:r w:rsidRPr="00C53FC9">
              <w:rPr>
                <w:rFonts w:ascii="Calibri" w:hAnsi="Calibri" w:cs="Calibri"/>
                <w:noProof/>
                <w:webHidden/>
              </w:rPr>
              <w:fldChar w:fldCharType="separate"/>
            </w:r>
            <w:r w:rsidR="00B42F48">
              <w:rPr>
                <w:rFonts w:ascii="Calibri" w:hAnsi="Calibri" w:cs="Calibri"/>
                <w:noProof/>
                <w:webHidden/>
              </w:rPr>
              <w:t>8</w:t>
            </w:r>
            <w:r w:rsidRPr="00C53FC9">
              <w:rPr>
                <w:rFonts w:ascii="Calibri" w:hAnsi="Calibri" w:cs="Calibri"/>
                <w:noProof/>
                <w:webHidden/>
              </w:rPr>
              <w:fldChar w:fldCharType="end"/>
            </w:r>
          </w:hyperlink>
        </w:p>
        <w:p w14:paraId="7432E1DD" w14:textId="0E29904E" w:rsidR="00033E4A" w:rsidRPr="00C53FC9" w:rsidRDefault="00033E4A">
          <w:pPr>
            <w:rPr>
              <w:rFonts w:ascii="Calibri" w:hAnsi="Calibri" w:cs="Calibri"/>
            </w:rPr>
          </w:pPr>
          <w:r w:rsidRPr="00C53FC9">
            <w:rPr>
              <w:rFonts w:ascii="Calibri" w:hAnsi="Calibri" w:cs="Calibri"/>
              <w:b/>
              <w:bCs/>
              <w:noProof/>
            </w:rPr>
            <w:fldChar w:fldCharType="end"/>
          </w:r>
        </w:p>
      </w:sdtContent>
    </w:sdt>
    <w:p w14:paraId="0C119F63" w14:textId="77777777" w:rsidR="00A26C96" w:rsidRPr="00C53FC9" w:rsidRDefault="00A26C96" w:rsidP="00A26C96">
      <w:pPr>
        <w:rPr>
          <w:rFonts w:ascii="Calibri" w:hAnsi="Calibri" w:cs="Calibri"/>
        </w:rPr>
      </w:pPr>
    </w:p>
    <w:p w14:paraId="7B639B0F" w14:textId="77777777" w:rsidR="00033E4A" w:rsidRPr="00C53FC9" w:rsidRDefault="00033E4A" w:rsidP="00A26C96">
      <w:pPr>
        <w:rPr>
          <w:rFonts w:ascii="Calibri" w:hAnsi="Calibri" w:cs="Calibri"/>
        </w:rPr>
      </w:pPr>
    </w:p>
    <w:p w14:paraId="41E7176A" w14:textId="77777777" w:rsidR="00033E4A" w:rsidRPr="00C53FC9" w:rsidRDefault="00033E4A" w:rsidP="00A26C96">
      <w:pPr>
        <w:rPr>
          <w:rFonts w:ascii="Calibri" w:hAnsi="Calibri" w:cs="Calibri"/>
        </w:rPr>
      </w:pPr>
    </w:p>
    <w:p w14:paraId="1A0061B6" w14:textId="77777777" w:rsidR="00033E4A" w:rsidRPr="00C53FC9" w:rsidRDefault="00033E4A" w:rsidP="00A26C96">
      <w:pPr>
        <w:rPr>
          <w:rFonts w:ascii="Calibri" w:hAnsi="Calibri" w:cs="Calibri"/>
        </w:rPr>
      </w:pPr>
    </w:p>
    <w:p w14:paraId="3E4ACD7B" w14:textId="77777777" w:rsidR="00033E4A" w:rsidRPr="00C53FC9" w:rsidRDefault="00033E4A" w:rsidP="00A26C96">
      <w:pPr>
        <w:rPr>
          <w:rFonts w:ascii="Calibri" w:hAnsi="Calibri" w:cs="Calibri"/>
        </w:rPr>
      </w:pPr>
    </w:p>
    <w:p w14:paraId="24242E22" w14:textId="77777777" w:rsidR="00033E4A" w:rsidRPr="00C53FC9" w:rsidRDefault="00033E4A" w:rsidP="00A26C96">
      <w:pPr>
        <w:rPr>
          <w:rFonts w:ascii="Calibri" w:hAnsi="Calibri" w:cs="Calibri"/>
        </w:rPr>
      </w:pPr>
    </w:p>
    <w:p w14:paraId="233E80D5" w14:textId="77777777" w:rsidR="00033E4A" w:rsidRPr="00C53FC9" w:rsidRDefault="00033E4A" w:rsidP="00A26C96">
      <w:pPr>
        <w:rPr>
          <w:rFonts w:ascii="Calibri" w:hAnsi="Calibri" w:cs="Calibri"/>
        </w:rPr>
      </w:pPr>
    </w:p>
    <w:p w14:paraId="25958ED1" w14:textId="77777777" w:rsidR="00033E4A" w:rsidRPr="00C53FC9" w:rsidRDefault="00033E4A" w:rsidP="00A26C96">
      <w:pPr>
        <w:rPr>
          <w:rFonts w:ascii="Calibri" w:hAnsi="Calibri" w:cs="Calibri"/>
        </w:rPr>
      </w:pPr>
    </w:p>
    <w:p w14:paraId="0C6D56FD" w14:textId="77777777" w:rsidR="00033E4A" w:rsidRPr="00C53FC9" w:rsidRDefault="00033E4A" w:rsidP="00A26C96">
      <w:pPr>
        <w:rPr>
          <w:rFonts w:ascii="Calibri" w:hAnsi="Calibri" w:cs="Calibri"/>
        </w:rPr>
      </w:pPr>
    </w:p>
    <w:p w14:paraId="6543888F" w14:textId="77777777" w:rsidR="00033E4A" w:rsidRPr="00C53FC9" w:rsidRDefault="00033E4A" w:rsidP="00A26C96">
      <w:pPr>
        <w:rPr>
          <w:rFonts w:ascii="Calibri" w:hAnsi="Calibri" w:cs="Calibri"/>
        </w:rPr>
      </w:pPr>
    </w:p>
    <w:p w14:paraId="61A17EF6" w14:textId="77777777" w:rsidR="00033E4A" w:rsidRPr="00C53FC9" w:rsidRDefault="00033E4A" w:rsidP="00A26C96">
      <w:pPr>
        <w:rPr>
          <w:rFonts w:ascii="Calibri" w:hAnsi="Calibri" w:cs="Calibri"/>
        </w:rPr>
      </w:pPr>
    </w:p>
    <w:p w14:paraId="3E64F663" w14:textId="77777777" w:rsidR="00033E4A" w:rsidRPr="00C53FC9" w:rsidRDefault="00033E4A" w:rsidP="00A26C96">
      <w:pPr>
        <w:rPr>
          <w:rFonts w:ascii="Calibri" w:hAnsi="Calibri" w:cs="Calibri"/>
        </w:rPr>
      </w:pPr>
    </w:p>
    <w:p w14:paraId="3907583A" w14:textId="77777777" w:rsidR="00033E4A" w:rsidRPr="00C53FC9" w:rsidRDefault="00033E4A" w:rsidP="00A26C96">
      <w:pPr>
        <w:rPr>
          <w:rFonts w:ascii="Calibri" w:hAnsi="Calibri" w:cs="Calibri"/>
        </w:rPr>
      </w:pPr>
    </w:p>
    <w:p w14:paraId="79D85FD5" w14:textId="77777777" w:rsidR="00033E4A" w:rsidRPr="00C53FC9" w:rsidRDefault="00033E4A" w:rsidP="00A26C96">
      <w:pPr>
        <w:rPr>
          <w:rFonts w:ascii="Calibri" w:hAnsi="Calibri" w:cs="Calibri"/>
        </w:rPr>
      </w:pPr>
    </w:p>
    <w:p w14:paraId="2F0E270D" w14:textId="77777777" w:rsidR="00033E4A" w:rsidRDefault="00033E4A" w:rsidP="00A26C96">
      <w:pPr>
        <w:rPr>
          <w:rFonts w:ascii="Calibri" w:hAnsi="Calibri" w:cs="Calibri"/>
        </w:rPr>
      </w:pPr>
    </w:p>
    <w:p w14:paraId="2BFA57DD" w14:textId="77777777" w:rsidR="007B6588" w:rsidRPr="00C53FC9" w:rsidRDefault="007B6588" w:rsidP="00A26C96">
      <w:pPr>
        <w:rPr>
          <w:rFonts w:ascii="Calibri" w:hAnsi="Calibri" w:cs="Calibri"/>
        </w:rPr>
      </w:pPr>
    </w:p>
    <w:p w14:paraId="411A9F52" w14:textId="77777777" w:rsidR="00033E4A" w:rsidRPr="00C53FC9" w:rsidRDefault="00033E4A" w:rsidP="00A26C96">
      <w:pPr>
        <w:rPr>
          <w:rFonts w:ascii="Calibri" w:hAnsi="Calibri" w:cs="Calibri"/>
        </w:rPr>
      </w:pPr>
    </w:p>
    <w:p w14:paraId="6C950A61" w14:textId="77777777" w:rsidR="00033E4A" w:rsidRPr="00C53FC9" w:rsidRDefault="00033E4A" w:rsidP="00A26C96">
      <w:pPr>
        <w:rPr>
          <w:rFonts w:ascii="Calibri" w:hAnsi="Calibri" w:cs="Calibri"/>
        </w:rPr>
      </w:pPr>
    </w:p>
    <w:p w14:paraId="6B924360" w14:textId="77777777" w:rsidR="00033E4A" w:rsidRPr="00C53FC9" w:rsidRDefault="00033E4A" w:rsidP="00A26C96">
      <w:pPr>
        <w:rPr>
          <w:rFonts w:ascii="Calibri" w:hAnsi="Calibri" w:cs="Calibri"/>
        </w:rPr>
      </w:pPr>
    </w:p>
    <w:p w14:paraId="2D8E16D7" w14:textId="3CB87A82" w:rsidR="006C7AF5" w:rsidRPr="00C53FC9" w:rsidRDefault="006C7AF5" w:rsidP="00911C3C">
      <w:pPr>
        <w:pStyle w:val="Heading1"/>
        <w:numPr>
          <w:ilvl w:val="0"/>
          <w:numId w:val="3"/>
        </w:numPr>
        <w:rPr>
          <w:rFonts w:ascii="Calibri" w:hAnsi="Calibri" w:cs="Calibri"/>
        </w:rPr>
      </w:pPr>
      <w:bookmarkStart w:id="0" w:name="_Toc200968390"/>
      <w:r w:rsidRPr="00C53FC9">
        <w:rPr>
          <w:rFonts w:ascii="Calibri" w:hAnsi="Calibri" w:cs="Calibri"/>
        </w:rPr>
        <w:lastRenderedPageBreak/>
        <w:t>Introduction</w:t>
      </w:r>
      <w:bookmarkEnd w:id="0"/>
    </w:p>
    <w:p w14:paraId="4A047E9F" w14:textId="77777777" w:rsidR="000B0AD4" w:rsidRPr="00C53FC9" w:rsidRDefault="000B0AD4" w:rsidP="005B3AB4">
      <w:pPr>
        <w:ind w:left="360"/>
        <w:jc w:val="both"/>
        <w:rPr>
          <w:rFonts w:ascii="Calibri" w:hAnsi="Calibri" w:cs="Calibri"/>
          <w:u w:val="single"/>
          <w:lang w:eastAsia="en-GB"/>
        </w:rPr>
      </w:pPr>
      <w:r w:rsidRPr="00C53FC9">
        <w:rPr>
          <w:rFonts w:ascii="Calibri" w:hAnsi="Calibri" w:cs="Calibri"/>
          <w:u w:val="single"/>
          <w:lang w:eastAsia="en-GB"/>
        </w:rPr>
        <w:t>Understanding the Gender Pay Gap</w:t>
      </w:r>
    </w:p>
    <w:p w14:paraId="297A7E18" w14:textId="77777777" w:rsidR="000B0AD4" w:rsidRPr="00C53FC9" w:rsidRDefault="000B0AD4" w:rsidP="005B3AB4">
      <w:pPr>
        <w:ind w:left="360"/>
        <w:jc w:val="both"/>
        <w:rPr>
          <w:rFonts w:ascii="Calibri" w:eastAsia="Times New Roman" w:hAnsi="Calibri" w:cs="Calibri"/>
          <w:kern w:val="0"/>
          <w:lang w:eastAsia="en-GB"/>
          <w14:ligatures w14:val="none"/>
        </w:rPr>
      </w:pPr>
      <w:r w:rsidRPr="00C53FC9">
        <w:rPr>
          <w:rFonts w:ascii="Calibri" w:eastAsia="Times New Roman" w:hAnsi="Calibri" w:cs="Calibri"/>
          <w:kern w:val="0"/>
          <w:lang w:eastAsia="en-GB"/>
          <w14:ligatures w14:val="none"/>
        </w:rPr>
        <w:t>The gender pay gap is a measure of the difference in average hourly earnings between men and women. It is typically expressed as a percentage, indicating how much more, on average, men earn compared to women.</w:t>
      </w:r>
    </w:p>
    <w:p w14:paraId="185061AB" w14:textId="77777777" w:rsidR="00EE2A1A" w:rsidRPr="00C53FC9" w:rsidRDefault="00EE2A1A" w:rsidP="005B3AB4">
      <w:pPr>
        <w:ind w:left="360"/>
        <w:jc w:val="both"/>
        <w:rPr>
          <w:rFonts w:ascii="Calibri" w:eastAsia="Times New Roman" w:hAnsi="Calibri" w:cs="Calibri"/>
          <w:kern w:val="0"/>
          <w:u w:val="single"/>
          <w:lang w:eastAsia="en-GB"/>
          <w14:ligatures w14:val="none"/>
        </w:rPr>
      </w:pPr>
    </w:p>
    <w:p w14:paraId="5EB9EB7B" w14:textId="080DE680" w:rsidR="000B0AD4" w:rsidRPr="00C53FC9" w:rsidRDefault="000B0AD4" w:rsidP="005B3AB4">
      <w:pPr>
        <w:ind w:left="360"/>
        <w:jc w:val="both"/>
        <w:rPr>
          <w:rFonts w:ascii="Calibri" w:eastAsia="Times New Roman" w:hAnsi="Calibri" w:cs="Calibri"/>
          <w:kern w:val="0"/>
          <w:u w:val="single"/>
          <w:lang w:eastAsia="en-GB"/>
          <w14:ligatures w14:val="none"/>
        </w:rPr>
      </w:pPr>
      <w:r w:rsidRPr="00C53FC9">
        <w:rPr>
          <w:rFonts w:ascii="Calibri" w:eastAsia="Times New Roman" w:hAnsi="Calibri" w:cs="Calibri"/>
          <w:kern w:val="0"/>
          <w:u w:val="single"/>
          <w:lang w:eastAsia="en-GB"/>
          <w14:ligatures w14:val="none"/>
        </w:rPr>
        <w:t>Reporting Requirements</w:t>
      </w:r>
    </w:p>
    <w:p w14:paraId="1D8BA9FF" w14:textId="77777777" w:rsidR="000B0AD4" w:rsidRPr="00C53FC9" w:rsidRDefault="000B0AD4" w:rsidP="005B3AB4">
      <w:pPr>
        <w:ind w:left="360"/>
        <w:jc w:val="both"/>
        <w:rPr>
          <w:rFonts w:ascii="Calibri" w:eastAsia="Times New Roman" w:hAnsi="Calibri" w:cs="Calibri"/>
          <w:kern w:val="0"/>
          <w:lang w:eastAsia="en-GB"/>
          <w14:ligatures w14:val="none"/>
        </w:rPr>
      </w:pPr>
      <w:r w:rsidRPr="00C53FC9">
        <w:rPr>
          <w:rFonts w:ascii="Calibri" w:eastAsia="Times New Roman" w:hAnsi="Calibri" w:cs="Calibri"/>
          <w:kern w:val="0"/>
          <w:lang w:eastAsia="en-GB"/>
          <w14:ligatures w14:val="none"/>
        </w:rPr>
        <w:t>Under the Equality Act 2010 (Specific Duties and Public Authorities) Regulations 2017, it is a statutory requirement for all public sector organisations with 250 or more employees to report annually on their gender pay gap. For NHS organisations, reporting is based on a snapshot of pay data taken as of 31 March each year. The gender pay gap report must be published by 30 March of the following year.</w:t>
      </w:r>
    </w:p>
    <w:p w14:paraId="12056D16" w14:textId="77777777" w:rsidR="000B0AD4" w:rsidRPr="00C53FC9" w:rsidRDefault="000B0AD4" w:rsidP="005B3AB4">
      <w:pPr>
        <w:ind w:left="360"/>
        <w:jc w:val="both"/>
        <w:rPr>
          <w:rFonts w:ascii="Calibri" w:eastAsia="Times New Roman" w:hAnsi="Calibri" w:cs="Calibri"/>
          <w:kern w:val="0"/>
          <w:lang w:eastAsia="en-GB"/>
          <w14:ligatures w14:val="none"/>
        </w:rPr>
      </w:pPr>
    </w:p>
    <w:p w14:paraId="7536A979" w14:textId="77777777" w:rsidR="000B0AD4" w:rsidRPr="00C53FC9" w:rsidRDefault="000B0AD4" w:rsidP="005B3AB4">
      <w:pPr>
        <w:ind w:left="360"/>
        <w:jc w:val="both"/>
        <w:rPr>
          <w:rFonts w:ascii="Calibri" w:eastAsia="Times New Roman" w:hAnsi="Calibri" w:cs="Calibri"/>
          <w:kern w:val="0"/>
          <w:u w:val="single"/>
          <w:lang w:eastAsia="en-GB"/>
          <w14:ligatures w14:val="none"/>
        </w:rPr>
      </w:pPr>
      <w:r w:rsidRPr="00C53FC9">
        <w:rPr>
          <w:rFonts w:ascii="Calibri" w:eastAsia="Times New Roman" w:hAnsi="Calibri" w:cs="Calibri"/>
          <w:kern w:val="0"/>
          <w:u w:val="single"/>
          <w:lang w:eastAsia="en-GB"/>
          <w14:ligatures w14:val="none"/>
        </w:rPr>
        <w:t>Reporting Obligations for ICBs</w:t>
      </w:r>
    </w:p>
    <w:p w14:paraId="4D1087E8" w14:textId="77777777" w:rsidR="000B0AD4" w:rsidRPr="00C53FC9" w:rsidRDefault="000B0AD4" w:rsidP="00CB306A">
      <w:pPr>
        <w:ind w:left="360"/>
        <w:rPr>
          <w:rFonts w:ascii="Calibri" w:hAnsi="Calibri" w:cs="Calibri"/>
          <w:lang w:eastAsia="en-GB"/>
        </w:rPr>
      </w:pPr>
      <w:r w:rsidRPr="00C53FC9">
        <w:rPr>
          <w:rFonts w:ascii="Calibri" w:hAnsi="Calibri" w:cs="Calibri"/>
          <w:lang w:eastAsia="en-GB"/>
        </w:rPr>
        <w:t>Integrated Care Boards (ICBs) are required to publish data on the pay gap between men and women who are directly employed or engaged via contracts for services or agency arrangements. The report must include the following elements:</w:t>
      </w:r>
    </w:p>
    <w:p w14:paraId="7EF1F3D7" w14:textId="77777777" w:rsidR="000B0AD4" w:rsidRPr="00C53FC9" w:rsidRDefault="000B0AD4" w:rsidP="00CB306A">
      <w:pPr>
        <w:pStyle w:val="ListParagraph"/>
        <w:numPr>
          <w:ilvl w:val="0"/>
          <w:numId w:val="11"/>
        </w:numPr>
        <w:rPr>
          <w:rFonts w:ascii="Calibri" w:hAnsi="Calibri" w:cs="Calibri"/>
          <w:lang w:eastAsia="en-GB"/>
        </w:rPr>
      </w:pPr>
      <w:r w:rsidRPr="00C53FC9">
        <w:rPr>
          <w:rFonts w:ascii="Calibri" w:hAnsi="Calibri" w:cs="Calibri"/>
          <w:lang w:eastAsia="en-GB"/>
        </w:rPr>
        <w:t>The organisation’s mean gender pay gap (average hourly earnings difference).</w:t>
      </w:r>
    </w:p>
    <w:p w14:paraId="23247352" w14:textId="77777777" w:rsidR="000B0AD4" w:rsidRPr="00C53FC9" w:rsidRDefault="000B0AD4" w:rsidP="00CB306A">
      <w:pPr>
        <w:pStyle w:val="ListParagraph"/>
        <w:numPr>
          <w:ilvl w:val="0"/>
          <w:numId w:val="11"/>
        </w:numPr>
        <w:rPr>
          <w:rFonts w:ascii="Calibri" w:hAnsi="Calibri" w:cs="Calibri"/>
          <w:lang w:eastAsia="en-GB"/>
        </w:rPr>
      </w:pPr>
      <w:r w:rsidRPr="00C53FC9">
        <w:rPr>
          <w:rFonts w:ascii="Calibri" w:hAnsi="Calibri" w:cs="Calibri"/>
          <w:lang w:eastAsia="en-GB"/>
        </w:rPr>
        <w:t>The organisation’s median gender pay gap (mid-point hourly earnings difference).</w:t>
      </w:r>
    </w:p>
    <w:p w14:paraId="4868E023" w14:textId="77777777" w:rsidR="000B0AD4" w:rsidRPr="00C53FC9" w:rsidRDefault="000B0AD4" w:rsidP="00CB306A">
      <w:pPr>
        <w:pStyle w:val="ListParagraph"/>
        <w:numPr>
          <w:ilvl w:val="0"/>
          <w:numId w:val="11"/>
        </w:numPr>
        <w:rPr>
          <w:rFonts w:ascii="Calibri" w:hAnsi="Calibri" w:cs="Calibri"/>
          <w:lang w:eastAsia="en-GB"/>
        </w:rPr>
      </w:pPr>
      <w:r w:rsidRPr="00C53FC9">
        <w:rPr>
          <w:rFonts w:ascii="Calibri" w:hAnsi="Calibri" w:cs="Calibri"/>
          <w:lang w:eastAsia="en-GB"/>
        </w:rPr>
        <w:t>The proportion of male and female employees in each quartile pay band.</w:t>
      </w:r>
    </w:p>
    <w:p w14:paraId="7A6B8643" w14:textId="77777777" w:rsidR="000B0AD4" w:rsidRPr="00C53FC9" w:rsidRDefault="000B0AD4" w:rsidP="00CB306A">
      <w:pPr>
        <w:pStyle w:val="ListParagraph"/>
        <w:numPr>
          <w:ilvl w:val="0"/>
          <w:numId w:val="11"/>
        </w:numPr>
        <w:rPr>
          <w:rFonts w:ascii="Calibri" w:hAnsi="Calibri" w:cs="Calibri"/>
          <w:lang w:eastAsia="en-GB"/>
        </w:rPr>
      </w:pPr>
      <w:r w:rsidRPr="00C53FC9">
        <w:rPr>
          <w:rFonts w:ascii="Calibri" w:hAnsi="Calibri" w:cs="Calibri"/>
          <w:lang w:eastAsia="en-GB"/>
        </w:rPr>
        <w:t>A written statement confirming the accuracy of the data, signed by a senior authorised individual (this applies to organisations covered by the Equality Act 2010 (Gender Pay Gap Information) Regulations 2017).</w:t>
      </w:r>
    </w:p>
    <w:p w14:paraId="5DE384B6" w14:textId="77777777" w:rsidR="002303AB" w:rsidRPr="00C53FC9" w:rsidRDefault="002303AB" w:rsidP="002303AB">
      <w:pPr>
        <w:pStyle w:val="ListParagraph"/>
        <w:ind w:left="1080"/>
        <w:jc w:val="both"/>
        <w:rPr>
          <w:rFonts w:ascii="Calibri" w:eastAsia="Times New Roman" w:hAnsi="Calibri" w:cs="Calibri"/>
          <w:kern w:val="0"/>
          <w:lang w:eastAsia="en-GB"/>
          <w14:ligatures w14:val="none"/>
        </w:rPr>
      </w:pPr>
    </w:p>
    <w:p w14:paraId="45FA11E3" w14:textId="28940E77" w:rsidR="00C7668A" w:rsidRPr="00C53FC9" w:rsidRDefault="00C7668A" w:rsidP="00911C3C">
      <w:pPr>
        <w:pStyle w:val="Heading1"/>
        <w:numPr>
          <w:ilvl w:val="0"/>
          <w:numId w:val="3"/>
        </w:numPr>
        <w:rPr>
          <w:rFonts w:ascii="Calibri" w:hAnsi="Calibri" w:cs="Calibri"/>
        </w:rPr>
      </w:pPr>
      <w:bookmarkStart w:id="1" w:name="_Toc200968391"/>
      <w:r w:rsidRPr="00C53FC9">
        <w:rPr>
          <w:rFonts w:ascii="Calibri" w:hAnsi="Calibri" w:cs="Calibri"/>
        </w:rPr>
        <w:t xml:space="preserve">Our </w:t>
      </w:r>
      <w:r w:rsidR="00D777ED" w:rsidRPr="00C53FC9">
        <w:rPr>
          <w:rFonts w:ascii="Calibri" w:hAnsi="Calibri" w:cs="Calibri"/>
        </w:rPr>
        <w:t>C</w:t>
      </w:r>
      <w:r w:rsidRPr="00C53FC9">
        <w:rPr>
          <w:rFonts w:ascii="Calibri" w:hAnsi="Calibri" w:cs="Calibri"/>
        </w:rPr>
        <w:t>ommitment to Equality, Diversity and Inclusion</w:t>
      </w:r>
      <w:bookmarkEnd w:id="1"/>
    </w:p>
    <w:p w14:paraId="50674B4E" w14:textId="3F6AEAAD" w:rsidR="00C10911" w:rsidRPr="00C53FC9" w:rsidRDefault="00C10911" w:rsidP="006B7A2D">
      <w:pPr>
        <w:ind w:left="360"/>
        <w:jc w:val="both"/>
        <w:rPr>
          <w:rFonts w:ascii="Calibri" w:hAnsi="Calibri" w:cs="Calibri"/>
        </w:rPr>
      </w:pPr>
      <w:r w:rsidRPr="00C53FC9">
        <w:rPr>
          <w:rFonts w:ascii="Calibri" w:hAnsi="Calibri" w:cs="Calibri"/>
        </w:rPr>
        <w:t>The ICB recognises and values the diverse needs of the population we serve, and we are committed to reducing health inequalities and improving equity in health outcomes for local people. We are committed to embedding equality and diversity considerations into all aspects of our work, including policy development, commissioning processes, and employment practices.</w:t>
      </w:r>
    </w:p>
    <w:p w14:paraId="25C0D072" w14:textId="77777777" w:rsidR="00C10911" w:rsidRDefault="00C10911" w:rsidP="00C10911">
      <w:pPr>
        <w:ind w:left="360"/>
        <w:jc w:val="both"/>
        <w:rPr>
          <w:rFonts w:ascii="Calibri" w:hAnsi="Calibri" w:cs="Calibri"/>
        </w:rPr>
      </w:pPr>
      <w:r w:rsidRPr="00C53FC9">
        <w:rPr>
          <w:rFonts w:ascii="Calibri" w:hAnsi="Calibri" w:cs="Calibri"/>
        </w:rPr>
        <w:t>We recognise that equality is about ensuring that access to opportunities is available to all and that no one should have poorer life chances because of the way they were born, where they come from, what they believe, or whether they have a disability. We believe diversity is about recognising and valuing differences by being inclusive, regardless of age, disability, gender, marriage or civil partnership status, pregnancy or maternity status, race, religion or belief, sex, or sexual orientation.</w:t>
      </w:r>
    </w:p>
    <w:p w14:paraId="0A26B02C" w14:textId="77777777" w:rsidR="006B7A2D" w:rsidRPr="00C53FC9" w:rsidRDefault="006B7A2D" w:rsidP="00C10911">
      <w:pPr>
        <w:ind w:left="360"/>
        <w:jc w:val="both"/>
        <w:rPr>
          <w:rFonts w:ascii="Calibri" w:hAnsi="Calibri" w:cs="Calibri"/>
        </w:rPr>
      </w:pPr>
    </w:p>
    <w:p w14:paraId="10F9D99A" w14:textId="77777777" w:rsidR="00C10911" w:rsidRPr="00C53FC9" w:rsidRDefault="00C10911" w:rsidP="00C10911">
      <w:pPr>
        <w:ind w:firstLine="360"/>
        <w:jc w:val="both"/>
        <w:rPr>
          <w:rFonts w:ascii="Calibri" w:hAnsi="Calibri" w:cs="Calibri"/>
        </w:rPr>
      </w:pPr>
      <w:r w:rsidRPr="00C53FC9">
        <w:rPr>
          <w:rFonts w:ascii="Calibri" w:hAnsi="Calibri" w:cs="Calibri"/>
        </w:rPr>
        <w:lastRenderedPageBreak/>
        <w:t>We are committed to:</w:t>
      </w:r>
    </w:p>
    <w:p w14:paraId="7AC101F7" w14:textId="77777777" w:rsidR="00C10911" w:rsidRPr="00C53FC9" w:rsidRDefault="00C10911" w:rsidP="00C10911">
      <w:pPr>
        <w:pStyle w:val="ListParagraph"/>
        <w:numPr>
          <w:ilvl w:val="0"/>
          <w:numId w:val="10"/>
        </w:numPr>
        <w:jc w:val="both"/>
        <w:rPr>
          <w:rFonts w:ascii="Calibri" w:hAnsi="Calibri" w:cs="Calibri"/>
        </w:rPr>
      </w:pPr>
      <w:r w:rsidRPr="00C53FC9">
        <w:rPr>
          <w:rFonts w:ascii="Calibri" w:hAnsi="Calibri" w:cs="Calibri"/>
        </w:rPr>
        <w:t>Improving equality of access to health services and health outcomes for the diverse population we serve.</w:t>
      </w:r>
    </w:p>
    <w:p w14:paraId="59756D5F" w14:textId="77777777" w:rsidR="00C10911" w:rsidRPr="00C53FC9" w:rsidRDefault="00C10911" w:rsidP="00C10911">
      <w:pPr>
        <w:pStyle w:val="ListParagraph"/>
        <w:numPr>
          <w:ilvl w:val="0"/>
          <w:numId w:val="10"/>
        </w:numPr>
        <w:jc w:val="both"/>
        <w:rPr>
          <w:rFonts w:ascii="Calibri" w:hAnsi="Calibri" w:cs="Calibri"/>
        </w:rPr>
      </w:pPr>
      <w:r w:rsidRPr="00C53FC9">
        <w:rPr>
          <w:rFonts w:ascii="Calibri" w:hAnsi="Calibri" w:cs="Calibri"/>
        </w:rPr>
        <w:t>Building and maintaining a diverse, culturally competent ICB workforce, supported by an inclusive leadership team.</w:t>
      </w:r>
    </w:p>
    <w:p w14:paraId="210B3ED5" w14:textId="0876EB14" w:rsidR="00C10911" w:rsidRPr="00C53FC9" w:rsidRDefault="00C10911" w:rsidP="00C10911">
      <w:pPr>
        <w:pStyle w:val="ListParagraph"/>
        <w:numPr>
          <w:ilvl w:val="0"/>
          <w:numId w:val="10"/>
        </w:numPr>
        <w:jc w:val="both"/>
        <w:rPr>
          <w:rFonts w:ascii="Calibri" w:hAnsi="Calibri" w:cs="Calibri"/>
        </w:rPr>
      </w:pPr>
      <w:r w:rsidRPr="00C53FC9">
        <w:rPr>
          <w:rFonts w:ascii="Calibri" w:hAnsi="Calibri" w:cs="Calibri"/>
        </w:rPr>
        <w:t xml:space="preserve">Creating and maintaining an environment where dignity, understanding and mutual respect, free from prejudice and discrimination, is experienced by all and where patients and </w:t>
      </w:r>
      <w:r w:rsidR="008E0A85" w:rsidRPr="00C53FC9">
        <w:rPr>
          <w:rFonts w:ascii="Calibri" w:hAnsi="Calibri" w:cs="Calibri"/>
        </w:rPr>
        <w:t>employees</w:t>
      </w:r>
      <w:r w:rsidRPr="00C53FC9">
        <w:rPr>
          <w:rFonts w:ascii="Calibri" w:hAnsi="Calibri" w:cs="Calibri"/>
        </w:rPr>
        <w:t xml:space="preserve"> feel able to challenge discrimination and unacceptable behaviour.</w:t>
      </w:r>
    </w:p>
    <w:p w14:paraId="6B35D6EB" w14:textId="77777777" w:rsidR="00C10911" w:rsidRPr="00C53FC9" w:rsidRDefault="00C10911" w:rsidP="00C10911">
      <w:pPr>
        <w:pStyle w:val="ListParagraph"/>
        <w:ind w:left="1080"/>
        <w:jc w:val="both"/>
        <w:rPr>
          <w:rFonts w:ascii="Calibri" w:hAnsi="Calibri" w:cs="Calibri"/>
        </w:rPr>
      </w:pPr>
    </w:p>
    <w:p w14:paraId="2426E3C0" w14:textId="7D12B6D8" w:rsidR="00C7668A" w:rsidRPr="00C53FC9" w:rsidRDefault="00C7668A" w:rsidP="00911C3C">
      <w:pPr>
        <w:pStyle w:val="Heading1"/>
        <w:numPr>
          <w:ilvl w:val="0"/>
          <w:numId w:val="3"/>
        </w:numPr>
        <w:rPr>
          <w:rFonts w:ascii="Calibri" w:hAnsi="Calibri" w:cs="Calibri"/>
        </w:rPr>
      </w:pPr>
      <w:bookmarkStart w:id="2" w:name="_Toc200968392"/>
      <w:r w:rsidRPr="00C53FC9">
        <w:rPr>
          <w:rFonts w:ascii="Calibri" w:hAnsi="Calibri" w:cs="Calibri"/>
        </w:rPr>
        <w:t>Our Gender Pay Gap Data</w:t>
      </w:r>
      <w:bookmarkEnd w:id="2"/>
    </w:p>
    <w:p w14:paraId="373CEE74" w14:textId="5FC16C36" w:rsidR="00911C3C" w:rsidRPr="00C53FC9" w:rsidRDefault="005576BB" w:rsidP="002A5FC3">
      <w:pPr>
        <w:pStyle w:val="Heading3"/>
        <w:numPr>
          <w:ilvl w:val="1"/>
          <w:numId w:val="3"/>
        </w:numPr>
        <w:rPr>
          <w:rFonts w:ascii="Calibri" w:hAnsi="Calibri" w:cs="Calibri"/>
        </w:rPr>
      </w:pPr>
      <w:bookmarkStart w:id="3" w:name="_Toc200968393"/>
      <w:r w:rsidRPr="00C53FC9">
        <w:rPr>
          <w:rFonts w:ascii="Calibri" w:hAnsi="Calibri" w:cs="Calibri"/>
        </w:rPr>
        <w:t>Gender Profile</w:t>
      </w:r>
      <w:bookmarkEnd w:id="3"/>
    </w:p>
    <w:p w14:paraId="26354774" w14:textId="33A4B0EC" w:rsidR="002A5FC3" w:rsidRPr="00C53FC9" w:rsidRDefault="00382E9D" w:rsidP="00F059D4">
      <w:pPr>
        <w:ind w:left="360"/>
        <w:jc w:val="both"/>
        <w:rPr>
          <w:rFonts w:ascii="Calibri" w:hAnsi="Calibri" w:cs="Calibri"/>
        </w:rPr>
      </w:pPr>
      <w:r w:rsidRPr="00C53FC9">
        <w:rPr>
          <w:rFonts w:ascii="Calibri" w:hAnsi="Calibri" w:cs="Calibri"/>
        </w:rPr>
        <w:t>In accordance with reporting requirements as of 31 March 2025, t</w:t>
      </w:r>
      <w:r w:rsidR="007A362E" w:rsidRPr="00C53FC9">
        <w:rPr>
          <w:rFonts w:ascii="Calibri" w:hAnsi="Calibri" w:cs="Calibri"/>
        </w:rPr>
        <w:t xml:space="preserve">he gender profile split of Nottingham and Nottinghamshire ICB’s workforce is </w:t>
      </w:r>
      <w:r w:rsidRPr="00C53FC9">
        <w:rPr>
          <w:rFonts w:ascii="Calibri" w:hAnsi="Calibri" w:cs="Calibri"/>
        </w:rPr>
        <w:t xml:space="preserve">demonstrated by the table below. </w:t>
      </w:r>
      <w:r w:rsidR="00B24946" w:rsidRPr="00C53FC9">
        <w:rPr>
          <w:rFonts w:ascii="Calibri" w:hAnsi="Calibri" w:cs="Calibri"/>
        </w:rPr>
        <w:t>The established number of employees for the purposes of this report is 622. This includes all employed, engaged and self-employed individuals where appropriate.</w:t>
      </w:r>
    </w:p>
    <w:p w14:paraId="2C37EB26" w14:textId="77777777" w:rsidR="00D83117" w:rsidRPr="00C53FC9" w:rsidRDefault="00D83117" w:rsidP="00E9705B">
      <w:pPr>
        <w:ind w:left="360"/>
        <w:rPr>
          <w:rFonts w:ascii="Calibri" w:hAnsi="Calibri" w:cs="Calibri"/>
        </w:rPr>
      </w:pPr>
    </w:p>
    <w:tbl>
      <w:tblPr>
        <w:tblStyle w:val="GridTable5Dark-Accent1"/>
        <w:tblW w:w="9081" w:type="dxa"/>
        <w:tblInd w:w="137" w:type="dxa"/>
        <w:tblLook w:val="04A0" w:firstRow="1" w:lastRow="0" w:firstColumn="1" w:lastColumn="0" w:noHBand="0" w:noVBand="1"/>
      </w:tblPr>
      <w:tblGrid>
        <w:gridCol w:w="1558"/>
        <w:gridCol w:w="1843"/>
        <w:gridCol w:w="1991"/>
        <w:gridCol w:w="1696"/>
        <w:gridCol w:w="1993"/>
      </w:tblGrid>
      <w:tr w:rsidR="008627B9" w:rsidRPr="00C53FC9" w14:paraId="5C94AF3D" w14:textId="77777777" w:rsidTr="008627B9">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8" w:type="dxa"/>
          </w:tcPr>
          <w:p w14:paraId="69A331D8" w14:textId="6BEF390E" w:rsidR="008627B9" w:rsidRPr="00C53FC9" w:rsidRDefault="008627B9" w:rsidP="00E9705B">
            <w:pPr>
              <w:rPr>
                <w:rFonts w:ascii="Calibri" w:hAnsi="Calibri" w:cs="Calibri"/>
              </w:rPr>
            </w:pPr>
            <w:r w:rsidRPr="00C53FC9">
              <w:rPr>
                <w:rFonts w:ascii="Calibri" w:hAnsi="Calibri" w:cs="Calibri"/>
              </w:rPr>
              <w:t>Gender</w:t>
            </w:r>
          </w:p>
        </w:tc>
        <w:tc>
          <w:tcPr>
            <w:tcW w:w="1843" w:type="dxa"/>
            <w:vAlign w:val="center"/>
          </w:tcPr>
          <w:p w14:paraId="0E6032EC" w14:textId="66D156F6" w:rsidR="008627B9" w:rsidRPr="00C53FC9" w:rsidRDefault="008627B9" w:rsidP="004C11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2024</w:t>
            </w:r>
            <w:r>
              <w:rPr>
                <w:rFonts w:ascii="Calibri" w:hAnsi="Calibri" w:cs="Calibri"/>
              </w:rPr>
              <w:t xml:space="preserve"> (numbers)</w:t>
            </w:r>
          </w:p>
        </w:tc>
        <w:tc>
          <w:tcPr>
            <w:tcW w:w="1991" w:type="dxa"/>
            <w:vAlign w:val="center"/>
          </w:tcPr>
          <w:p w14:paraId="2F18775C" w14:textId="23015851" w:rsidR="008627B9" w:rsidRPr="00C53FC9" w:rsidRDefault="008627B9" w:rsidP="004C11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2024 (percentages)</w:t>
            </w:r>
          </w:p>
        </w:tc>
        <w:tc>
          <w:tcPr>
            <w:tcW w:w="1696" w:type="dxa"/>
            <w:vAlign w:val="center"/>
          </w:tcPr>
          <w:p w14:paraId="39B5B8CF" w14:textId="3F0705AD" w:rsidR="008627B9" w:rsidRPr="00C53FC9" w:rsidRDefault="008627B9" w:rsidP="004C11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2025</w:t>
            </w:r>
            <w:r>
              <w:rPr>
                <w:rFonts w:ascii="Calibri" w:hAnsi="Calibri" w:cs="Calibri"/>
              </w:rPr>
              <w:t xml:space="preserve"> (numbers)</w:t>
            </w:r>
          </w:p>
        </w:tc>
        <w:tc>
          <w:tcPr>
            <w:tcW w:w="1993" w:type="dxa"/>
            <w:vAlign w:val="center"/>
          </w:tcPr>
          <w:p w14:paraId="39827379" w14:textId="503AD413" w:rsidR="008627B9" w:rsidRPr="00C53FC9" w:rsidRDefault="008627B9" w:rsidP="004C114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2025 (percentages)</w:t>
            </w:r>
          </w:p>
        </w:tc>
      </w:tr>
      <w:tr w:rsidR="004C63B7" w:rsidRPr="00C53FC9" w14:paraId="5C73E5DA" w14:textId="77777777" w:rsidTr="008627B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58" w:type="dxa"/>
          </w:tcPr>
          <w:p w14:paraId="4F139F89" w14:textId="2719A004" w:rsidR="004C63B7" w:rsidRPr="00C53FC9" w:rsidRDefault="004C1140" w:rsidP="00E9705B">
            <w:pPr>
              <w:rPr>
                <w:rFonts w:ascii="Calibri" w:hAnsi="Calibri" w:cs="Calibri"/>
              </w:rPr>
            </w:pPr>
            <w:r w:rsidRPr="00C53FC9">
              <w:rPr>
                <w:rFonts w:ascii="Calibri" w:hAnsi="Calibri" w:cs="Calibri"/>
              </w:rPr>
              <w:t>Female</w:t>
            </w:r>
          </w:p>
        </w:tc>
        <w:tc>
          <w:tcPr>
            <w:tcW w:w="1843" w:type="dxa"/>
            <w:vAlign w:val="center"/>
          </w:tcPr>
          <w:p w14:paraId="3EDC2595" w14:textId="3F3FF9E0" w:rsidR="004C63B7" w:rsidRPr="00C53FC9" w:rsidRDefault="00F14A6B"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459</w:t>
            </w:r>
          </w:p>
        </w:tc>
        <w:tc>
          <w:tcPr>
            <w:tcW w:w="1991" w:type="dxa"/>
            <w:vAlign w:val="center"/>
          </w:tcPr>
          <w:p w14:paraId="1E9AA4AA" w14:textId="3BF4A870" w:rsidR="004C63B7" w:rsidRPr="00C53FC9" w:rsidRDefault="009A0584"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74.5%</w:t>
            </w:r>
          </w:p>
        </w:tc>
        <w:tc>
          <w:tcPr>
            <w:tcW w:w="1696" w:type="dxa"/>
            <w:vAlign w:val="center"/>
          </w:tcPr>
          <w:p w14:paraId="2DABD7F0" w14:textId="2FF84C48" w:rsidR="004C63B7" w:rsidRPr="00C53FC9" w:rsidRDefault="00F716BA"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473</w:t>
            </w:r>
          </w:p>
        </w:tc>
        <w:tc>
          <w:tcPr>
            <w:tcW w:w="1993" w:type="dxa"/>
            <w:vAlign w:val="center"/>
          </w:tcPr>
          <w:p w14:paraId="3487E549" w14:textId="6954B2A1" w:rsidR="004C63B7" w:rsidRPr="00C53FC9" w:rsidRDefault="008C054D"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7</w:t>
            </w:r>
            <w:r w:rsidR="003A6501" w:rsidRPr="00C53FC9">
              <w:rPr>
                <w:rFonts w:ascii="Calibri" w:hAnsi="Calibri" w:cs="Calibri"/>
              </w:rPr>
              <w:t>6.0%</w:t>
            </w:r>
          </w:p>
        </w:tc>
      </w:tr>
      <w:tr w:rsidR="004C63B7" w:rsidRPr="00C53FC9" w14:paraId="59E9E7E6" w14:textId="77777777" w:rsidTr="008627B9">
        <w:trPr>
          <w:trHeight w:val="435"/>
        </w:trPr>
        <w:tc>
          <w:tcPr>
            <w:cnfStyle w:val="001000000000" w:firstRow="0" w:lastRow="0" w:firstColumn="1" w:lastColumn="0" w:oddVBand="0" w:evenVBand="0" w:oddHBand="0" w:evenHBand="0" w:firstRowFirstColumn="0" w:firstRowLastColumn="0" w:lastRowFirstColumn="0" w:lastRowLastColumn="0"/>
            <w:tcW w:w="1558" w:type="dxa"/>
          </w:tcPr>
          <w:p w14:paraId="6545CF35" w14:textId="59C47F8D" w:rsidR="004C63B7" w:rsidRPr="00C53FC9" w:rsidRDefault="004C1140" w:rsidP="00E9705B">
            <w:pPr>
              <w:rPr>
                <w:rFonts w:ascii="Calibri" w:hAnsi="Calibri" w:cs="Calibri"/>
              </w:rPr>
            </w:pPr>
            <w:r w:rsidRPr="00C53FC9">
              <w:rPr>
                <w:rFonts w:ascii="Calibri" w:hAnsi="Calibri" w:cs="Calibri"/>
              </w:rPr>
              <w:t>Male</w:t>
            </w:r>
          </w:p>
        </w:tc>
        <w:tc>
          <w:tcPr>
            <w:tcW w:w="1843" w:type="dxa"/>
            <w:vAlign w:val="center"/>
          </w:tcPr>
          <w:p w14:paraId="422B1D7D" w14:textId="204DEF89" w:rsidR="004C63B7" w:rsidRPr="00C53FC9" w:rsidRDefault="00F14A6B" w:rsidP="00F14A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157</w:t>
            </w:r>
          </w:p>
        </w:tc>
        <w:tc>
          <w:tcPr>
            <w:tcW w:w="1991" w:type="dxa"/>
            <w:vAlign w:val="center"/>
          </w:tcPr>
          <w:p w14:paraId="0B171A35" w14:textId="25F59F15" w:rsidR="004C63B7" w:rsidRPr="00C53FC9" w:rsidRDefault="009A0584" w:rsidP="00F14A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25.5%</w:t>
            </w:r>
          </w:p>
        </w:tc>
        <w:tc>
          <w:tcPr>
            <w:tcW w:w="1696" w:type="dxa"/>
            <w:vAlign w:val="center"/>
          </w:tcPr>
          <w:p w14:paraId="105515E9" w14:textId="130DE671" w:rsidR="004C63B7" w:rsidRPr="00C53FC9" w:rsidRDefault="00F716BA" w:rsidP="00F14A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149</w:t>
            </w:r>
          </w:p>
        </w:tc>
        <w:tc>
          <w:tcPr>
            <w:tcW w:w="1993" w:type="dxa"/>
            <w:vAlign w:val="center"/>
          </w:tcPr>
          <w:p w14:paraId="2B363708" w14:textId="39FB5315" w:rsidR="004C63B7" w:rsidRPr="00C53FC9" w:rsidRDefault="003A6501" w:rsidP="00F14A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24.0%</w:t>
            </w:r>
          </w:p>
        </w:tc>
      </w:tr>
      <w:tr w:rsidR="00656249" w:rsidRPr="00C53FC9" w14:paraId="51894EBE" w14:textId="77777777" w:rsidTr="008627B9">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558" w:type="dxa"/>
          </w:tcPr>
          <w:p w14:paraId="0486BC12" w14:textId="5E0B8B17" w:rsidR="00656249" w:rsidRPr="00C53FC9" w:rsidRDefault="00656249" w:rsidP="00E9705B">
            <w:pPr>
              <w:rPr>
                <w:rFonts w:ascii="Calibri" w:hAnsi="Calibri" w:cs="Calibri"/>
              </w:rPr>
            </w:pPr>
            <w:r w:rsidRPr="00C53FC9">
              <w:rPr>
                <w:rFonts w:ascii="Calibri" w:hAnsi="Calibri" w:cs="Calibri"/>
              </w:rPr>
              <w:t>Total Headcount</w:t>
            </w:r>
          </w:p>
        </w:tc>
        <w:tc>
          <w:tcPr>
            <w:tcW w:w="1843" w:type="dxa"/>
            <w:vAlign w:val="center"/>
          </w:tcPr>
          <w:p w14:paraId="3FE9B024" w14:textId="21BC08A4" w:rsidR="00656249" w:rsidRPr="00C53FC9" w:rsidRDefault="00F14A6B"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616</w:t>
            </w:r>
          </w:p>
        </w:tc>
        <w:tc>
          <w:tcPr>
            <w:tcW w:w="1991" w:type="dxa"/>
            <w:vAlign w:val="center"/>
          </w:tcPr>
          <w:p w14:paraId="0317385D" w14:textId="5998325C" w:rsidR="00656249" w:rsidRPr="00C53FC9" w:rsidRDefault="00C739CB"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100%</w:t>
            </w:r>
          </w:p>
        </w:tc>
        <w:tc>
          <w:tcPr>
            <w:tcW w:w="1696" w:type="dxa"/>
            <w:vAlign w:val="center"/>
          </w:tcPr>
          <w:p w14:paraId="2CD9EEC0" w14:textId="2C29C19E" w:rsidR="00656249" w:rsidRPr="00C53FC9" w:rsidRDefault="00F716BA"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622</w:t>
            </w:r>
          </w:p>
        </w:tc>
        <w:tc>
          <w:tcPr>
            <w:tcW w:w="1993" w:type="dxa"/>
            <w:vAlign w:val="center"/>
          </w:tcPr>
          <w:p w14:paraId="3FA9009D" w14:textId="7EEA0DDF" w:rsidR="00656249" w:rsidRPr="00C53FC9" w:rsidRDefault="00C739CB" w:rsidP="00F14A6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100%</w:t>
            </w:r>
          </w:p>
        </w:tc>
      </w:tr>
    </w:tbl>
    <w:p w14:paraId="4DCC3E98" w14:textId="7515BF46" w:rsidR="00E3236C" w:rsidRPr="00C53FC9" w:rsidRDefault="002612B4" w:rsidP="002B769A">
      <w:pPr>
        <w:pStyle w:val="Caption"/>
        <w:ind w:firstLine="360"/>
        <w:rPr>
          <w:rFonts w:ascii="Calibri" w:hAnsi="Calibri" w:cs="Calibri"/>
        </w:rPr>
      </w:pPr>
      <w:r w:rsidRPr="00C53FC9">
        <w:rPr>
          <w:rFonts w:ascii="Calibri" w:hAnsi="Calibri" w:cs="Calibri"/>
        </w:rPr>
        <w:t xml:space="preserve">Table </w:t>
      </w:r>
      <w:r w:rsidRPr="00C53FC9">
        <w:rPr>
          <w:rFonts w:ascii="Calibri" w:hAnsi="Calibri" w:cs="Calibri"/>
        </w:rPr>
        <w:fldChar w:fldCharType="begin"/>
      </w:r>
      <w:r w:rsidRPr="00C53FC9">
        <w:rPr>
          <w:rFonts w:ascii="Calibri" w:hAnsi="Calibri" w:cs="Calibri"/>
        </w:rPr>
        <w:instrText xml:space="preserve"> SEQ Table \* ARABIC </w:instrText>
      </w:r>
      <w:r w:rsidRPr="00C53FC9">
        <w:rPr>
          <w:rFonts w:ascii="Calibri" w:hAnsi="Calibri" w:cs="Calibri"/>
        </w:rPr>
        <w:fldChar w:fldCharType="separate"/>
      </w:r>
      <w:r w:rsidR="007144A7" w:rsidRPr="00C53FC9">
        <w:rPr>
          <w:rFonts w:ascii="Calibri" w:hAnsi="Calibri" w:cs="Calibri"/>
          <w:noProof/>
        </w:rPr>
        <w:t>1</w:t>
      </w:r>
      <w:r w:rsidRPr="00C53FC9">
        <w:rPr>
          <w:rFonts w:ascii="Calibri" w:hAnsi="Calibri" w:cs="Calibri"/>
        </w:rPr>
        <w:fldChar w:fldCharType="end"/>
      </w:r>
      <w:r w:rsidRPr="00C53FC9">
        <w:rPr>
          <w:rFonts w:ascii="Calibri" w:hAnsi="Calibri" w:cs="Calibri"/>
        </w:rPr>
        <w:t xml:space="preserve">- Proportion of </w:t>
      </w:r>
      <w:r w:rsidR="00905EF0" w:rsidRPr="00C53FC9">
        <w:rPr>
          <w:rFonts w:ascii="Calibri" w:hAnsi="Calibri" w:cs="Calibri"/>
        </w:rPr>
        <w:t>male and female employees within Nottingham and Nottinghamshire ICB 2024 - 2025</w:t>
      </w:r>
    </w:p>
    <w:p w14:paraId="06AE3055" w14:textId="77777777" w:rsidR="00D83117" w:rsidRPr="00C53FC9" w:rsidRDefault="00D83117" w:rsidP="00E9705B">
      <w:pPr>
        <w:ind w:left="360"/>
        <w:rPr>
          <w:rFonts w:ascii="Calibri" w:hAnsi="Calibri" w:cs="Calibri"/>
        </w:rPr>
      </w:pPr>
    </w:p>
    <w:p w14:paraId="5A9279C8" w14:textId="0A8A97AA" w:rsidR="007A362E" w:rsidRPr="00C53FC9" w:rsidRDefault="009C23F5" w:rsidP="00F059D4">
      <w:pPr>
        <w:ind w:left="360"/>
        <w:jc w:val="both"/>
        <w:rPr>
          <w:rFonts w:ascii="Calibri" w:hAnsi="Calibri" w:cs="Calibri"/>
        </w:rPr>
      </w:pPr>
      <w:r w:rsidRPr="00C53FC9">
        <w:rPr>
          <w:rFonts w:ascii="Calibri" w:hAnsi="Calibri" w:cs="Calibri"/>
        </w:rPr>
        <w:t xml:space="preserve">According to the 2021 ONS survey, females make up 51% of England’s population. In contrast, the NHS workforce typically comprises around 77% female and 23% male, largely due to the nature of clinical roles such as nursing and midwifery. </w:t>
      </w:r>
      <w:r w:rsidR="00A6758A" w:rsidRPr="00C53FC9">
        <w:rPr>
          <w:rFonts w:ascii="Calibri" w:hAnsi="Calibri" w:cs="Calibri"/>
        </w:rPr>
        <w:t xml:space="preserve">The gender distribution data for 2024 and 2025 </w:t>
      </w:r>
      <w:r w:rsidRPr="00C53FC9">
        <w:rPr>
          <w:rFonts w:ascii="Calibri" w:hAnsi="Calibri" w:cs="Calibri"/>
        </w:rPr>
        <w:t>reflects this</w:t>
      </w:r>
      <w:r w:rsidR="00232445" w:rsidRPr="00C53FC9">
        <w:rPr>
          <w:rFonts w:ascii="Calibri" w:hAnsi="Calibri" w:cs="Calibri"/>
        </w:rPr>
        <w:t xml:space="preserve"> and </w:t>
      </w:r>
      <w:r w:rsidR="00A6758A" w:rsidRPr="00C53FC9">
        <w:rPr>
          <w:rFonts w:ascii="Calibri" w:hAnsi="Calibri" w:cs="Calibri"/>
        </w:rPr>
        <w:t>reveals a consistently higher proportion of female employees within the ICB workforce. In 2024, females made up 74.5% (459 out of 616) of the total headcount, while males represented 25.5% (157 out of 616). In 2025, while the overall headcount slightly increased to 622, the number of female employees rose to 473, making up 76.0% of the workforce. Conversely, the number of male employees declined to 149, accounting for 24.0% of the total. This trend indicates a widening gender imbalance in favour of female representation. For gender pay gap analysis, such a skewed distribution highlights the importance of examining whether roles and pay are equitably distributed across genders.</w:t>
      </w:r>
    </w:p>
    <w:p w14:paraId="748ECA50" w14:textId="77777777" w:rsidR="00FF6308" w:rsidRDefault="00FF6308" w:rsidP="00E9705B">
      <w:pPr>
        <w:ind w:left="360"/>
        <w:rPr>
          <w:rFonts w:ascii="Calibri" w:hAnsi="Calibri" w:cs="Calibri"/>
        </w:rPr>
      </w:pPr>
    </w:p>
    <w:p w14:paraId="73328537" w14:textId="77777777" w:rsidR="00B42F48" w:rsidRDefault="00B42F48" w:rsidP="00E9705B">
      <w:pPr>
        <w:ind w:left="360"/>
        <w:rPr>
          <w:rFonts w:ascii="Calibri" w:hAnsi="Calibri" w:cs="Calibri"/>
        </w:rPr>
      </w:pPr>
    </w:p>
    <w:p w14:paraId="4374CBEC" w14:textId="77777777" w:rsidR="00B42F48" w:rsidRPr="00C53FC9" w:rsidRDefault="00B42F48" w:rsidP="00E9705B">
      <w:pPr>
        <w:ind w:left="360"/>
        <w:rPr>
          <w:rFonts w:ascii="Calibri" w:hAnsi="Calibri" w:cs="Calibri"/>
        </w:rPr>
      </w:pPr>
    </w:p>
    <w:p w14:paraId="3527CB8A" w14:textId="21DC7C58" w:rsidR="00FC4443" w:rsidRPr="00C53FC9" w:rsidRDefault="007B470A" w:rsidP="00744F94">
      <w:pPr>
        <w:pStyle w:val="Heading3"/>
        <w:numPr>
          <w:ilvl w:val="1"/>
          <w:numId w:val="3"/>
        </w:numPr>
        <w:rPr>
          <w:rFonts w:ascii="Calibri" w:hAnsi="Calibri" w:cs="Calibri"/>
        </w:rPr>
      </w:pPr>
      <w:bookmarkStart w:id="4" w:name="_Toc200968394"/>
      <w:r w:rsidRPr="00C53FC9">
        <w:rPr>
          <w:rFonts w:ascii="Calibri" w:hAnsi="Calibri" w:cs="Calibri"/>
        </w:rPr>
        <w:lastRenderedPageBreak/>
        <w:t>Gender Pay</w:t>
      </w:r>
      <w:bookmarkEnd w:id="4"/>
    </w:p>
    <w:p w14:paraId="4BB53774" w14:textId="69050244" w:rsidR="009B645E" w:rsidRPr="00C53FC9" w:rsidRDefault="009B645E" w:rsidP="00C373A9">
      <w:pPr>
        <w:pStyle w:val="NoSpacing"/>
        <w:ind w:firstLine="360"/>
        <w:jc w:val="both"/>
        <w:rPr>
          <w:rFonts w:ascii="Calibri" w:hAnsi="Calibri" w:cs="Calibri"/>
        </w:rPr>
      </w:pPr>
      <w:r w:rsidRPr="00C53FC9">
        <w:rPr>
          <w:rFonts w:ascii="Calibri" w:hAnsi="Calibri" w:cs="Calibri"/>
        </w:rPr>
        <w:t>The table</w:t>
      </w:r>
      <w:r w:rsidR="002E6E36" w:rsidRPr="00C53FC9">
        <w:rPr>
          <w:rFonts w:ascii="Calibri" w:hAnsi="Calibri" w:cs="Calibri"/>
        </w:rPr>
        <w:t>s</w:t>
      </w:r>
      <w:r w:rsidRPr="00C53FC9">
        <w:rPr>
          <w:rFonts w:ascii="Calibri" w:hAnsi="Calibri" w:cs="Calibri"/>
        </w:rPr>
        <w:t xml:space="preserve"> below detail Nottingham and Nottinghamshire ICB’s Mean (Average) and Median Pay </w:t>
      </w:r>
    </w:p>
    <w:p w14:paraId="6D2FD1DF" w14:textId="021D37CF" w:rsidR="00DF2BDD" w:rsidRPr="00C53FC9" w:rsidRDefault="009B645E" w:rsidP="00C373A9">
      <w:pPr>
        <w:pStyle w:val="NoSpacing"/>
        <w:ind w:firstLine="360"/>
        <w:jc w:val="both"/>
        <w:rPr>
          <w:rFonts w:ascii="Calibri" w:hAnsi="Calibri" w:cs="Calibri"/>
        </w:rPr>
      </w:pPr>
      <w:r w:rsidRPr="00C53FC9">
        <w:rPr>
          <w:rFonts w:ascii="Calibri" w:hAnsi="Calibri" w:cs="Calibri"/>
        </w:rPr>
        <w:t>Gaps.</w:t>
      </w:r>
    </w:p>
    <w:p w14:paraId="7518DC3C" w14:textId="77777777" w:rsidR="002E6E36" w:rsidRPr="00C53FC9" w:rsidRDefault="002E6E36" w:rsidP="002E6E36">
      <w:pPr>
        <w:pStyle w:val="NoSpacing"/>
        <w:rPr>
          <w:rFonts w:ascii="Calibri" w:hAnsi="Calibri" w:cs="Calibri"/>
        </w:rPr>
      </w:pPr>
    </w:p>
    <w:tbl>
      <w:tblPr>
        <w:tblStyle w:val="GridTable5Dark-Accent1"/>
        <w:tblpPr w:leftFromText="180" w:rightFromText="180" w:vertAnchor="text" w:horzAnchor="margin" w:tblpX="-147" w:tblpY="50"/>
        <w:tblW w:w="9214" w:type="dxa"/>
        <w:tblLook w:val="04A0" w:firstRow="1" w:lastRow="0" w:firstColumn="1" w:lastColumn="0" w:noHBand="0" w:noVBand="1"/>
      </w:tblPr>
      <w:tblGrid>
        <w:gridCol w:w="4537"/>
        <w:gridCol w:w="1559"/>
        <w:gridCol w:w="1701"/>
        <w:gridCol w:w="1417"/>
      </w:tblGrid>
      <w:tr w:rsidR="009329F9" w:rsidRPr="00C53FC9" w14:paraId="36A92FD7" w14:textId="77777777" w:rsidTr="00053E2A">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4537" w:type="dxa"/>
          </w:tcPr>
          <w:p w14:paraId="26201208" w14:textId="77777777" w:rsidR="009B645E" w:rsidRPr="00C53FC9" w:rsidRDefault="009B645E" w:rsidP="00053E2A">
            <w:pPr>
              <w:rPr>
                <w:rFonts w:ascii="Calibri" w:hAnsi="Calibri" w:cs="Calibri"/>
              </w:rPr>
            </w:pPr>
            <w:r w:rsidRPr="00C53FC9">
              <w:rPr>
                <w:rFonts w:ascii="Calibri" w:hAnsi="Calibri" w:cs="Calibri"/>
              </w:rPr>
              <w:t>Gender Pay Gap</w:t>
            </w:r>
          </w:p>
        </w:tc>
        <w:tc>
          <w:tcPr>
            <w:tcW w:w="1559" w:type="dxa"/>
          </w:tcPr>
          <w:p w14:paraId="37608ECE" w14:textId="77777777" w:rsidR="009B645E" w:rsidRPr="00C53FC9" w:rsidRDefault="009B645E" w:rsidP="00053E2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2023</w:t>
            </w:r>
          </w:p>
        </w:tc>
        <w:tc>
          <w:tcPr>
            <w:tcW w:w="1701" w:type="dxa"/>
          </w:tcPr>
          <w:p w14:paraId="0E533CC5" w14:textId="77777777" w:rsidR="009B645E" w:rsidRPr="00C53FC9" w:rsidRDefault="009B645E" w:rsidP="00053E2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2024</w:t>
            </w:r>
          </w:p>
        </w:tc>
        <w:tc>
          <w:tcPr>
            <w:tcW w:w="1417" w:type="dxa"/>
          </w:tcPr>
          <w:p w14:paraId="2A4F136E" w14:textId="77777777" w:rsidR="009B645E" w:rsidRPr="00C53FC9" w:rsidRDefault="009B645E" w:rsidP="00053E2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2025</w:t>
            </w:r>
          </w:p>
        </w:tc>
      </w:tr>
      <w:tr w:rsidR="009B645E" w:rsidRPr="00C53FC9" w14:paraId="33EA93FA" w14:textId="77777777" w:rsidTr="00053E2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537" w:type="dxa"/>
            <w:vAlign w:val="center"/>
          </w:tcPr>
          <w:p w14:paraId="139D0C85" w14:textId="77777777" w:rsidR="009B645E" w:rsidRPr="00C53FC9" w:rsidRDefault="009B645E" w:rsidP="00053E2A">
            <w:pPr>
              <w:rPr>
                <w:rFonts w:ascii="Calibri" w:hAnsi="Calibri" w:cs="Calibri"/>
              </w:rPr>
            </w:pPr>
            <w:r w:rsidRPr="00C53FC9">
              <w:rPr>
                <w:rFonts w:ascii="Calibri" w:hAnsi="Calibri" w:cs="Calibri"/>
              </w:rPr>
              <w:t>Mean gender pay gap – ordinary pay</w:t>
            </w:r>
          </w:p>
        </w:tc>
        <w:tc>
          <w:tcPr>
            <w:tcW w:w="1559" w:type="dxa"/>
            <w:vAlign w:val="center"/>
          </w:tcPr>
          <w:p w14:paraId="0AF613C0" w14:textId="77777777" w:rsidR="009B645E" w:rsidRPr="00C53FC9" w:rsidRDefault="009B645E" w:rsidP="00053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35.95%</w:t>
            </w:r>
          </w:p>
        </w:tc>
        <w:tc>
          <w:tcPr>
            <w:tcW w:w="1701" w:type="dxa"/>
            <w:vAlign w:val="center"/>
          </w:tcPr>
          <w:p w14:paraId="1D606087" w14:textId="77777777" w:rsidR="009B645E" w:rsidRPr="00C53FC9" w:rsidRDefault="009B645E" w:rsidP="00053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37.84%</w:t>
            </w:r>
          </w:p>
        </w:tc>
        <w:tc>
          <w:tcPr>
            <w:tcW w:w="1417" w:type="dxa"/>
            <w:vAlign w:val="center"/>
          </w:tcPr>
          <w:p w14:paraId="1563E23A" w14:textId="77777777" w:rsidR="009B645E" w:rsidRPr="00CF0608" w:rsidRDefault="009B645E" w:rsidP="00053E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27.78%</w:t>
            </w:r>
          </w:p>
        </w:tc>
      </w:tr>
      <w:tr w:rsidR="009329F9" w:rsidRPr="00C53FC9" w14:paraId="13C8ABDC" w14:textId="77777777" w:rsidTr="00053E2A">
        <w:trPr>
          <w:trHeight w:val="437"/>
        </w:trPr>
        <w:tc>
          <w:tcPr>
            <w:cnfStyle w:val="001000000000" w:firstRow="0" w:lastRow="0" w:firstColumn="1" w:lastColumn="0" w:oddVBand="0" w:evenVBand="0" w:oddHBand="0" w:evenHBand="0" w:firstRowFirstColumn="0" w:firstRowLastColumn="0" w:lastRowFirstColumn="0" w:lastRowLastColumn="0"/>
            <w:tcW w:w="4537" w:type="dxa"/>
            <w:vAlign w:val="center"/>
          </w:tcPr>
          <w:p w14:paraId="493BAD8B" w14:textId="77777777" w:rsidR="009B645E" w:rsidRPr="00C53FC9" w:rsidRDefault="009B645E" w:rsidP="00053E2A">
            <w:pPr>
              <w:rPr>
                <w:rFonts w:ascii="Calibri" w:hAnsi="Calibri" w:cs="Calibri"/>
              </w:rPr>
            </w:pPr>
            <w:r w:rsidRPr="00C53FC9">
              <w:rPr>
                <w:rFonts w:ascii="Calibri" w:hAnsi="Calibri" w:cs="Calibri"/>
              </w:rPr>
              <w:t>Median gender pay gap – ordinary pay</w:t>
            </w:r>
          </w:p>
        </w:tc>
        <w:tc>
          <w:tcPr>
            <w:tcW w:w="1559" w:type="dxa"/>
            <w:vAlign w:val="center"/>
          </w:tcPr>
          <w:p w14:paraId="117D9187" w14:textId="77777777" w:rsidR="009B645E" w:rsidRPr="00C53FC9" w:rsidRDefault="009B645E" w:rsidP="00053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9.72%</w:t>
            </w:r>
          </w:p>
        </w:tc>
        <w:tc>
          <w:tcPr>
            <w:tcW w:w="1701" w:type="dxa"/>
            <w:vAlign w:val="center"/>
          </w:tcPr>
          <w:p w14:paraId="1944AE54" w14:textId="77777777" w:rsidR="009B645E" w:rsidRPr="00C53FC9" w:rsidRDefault="009B645E" w:rsidP="00053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9.72%</w:t>
            </w:r>
          </w:p>
        </w:tc>
        <w:tc>
          <w:tcPr>
            <w:tcW w:w="1417" w:type="dxa"/>
            <w:vAlign w:val="center"/>
          </w:tcPr>
          <w:p w14:paraId="7AE08E86" w14:textId="77777777" w:rsidR="009B645E" w:rsidRPr="00CF0608" w:rsidRDefault="009B645E" w:rsidP="00053E2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19.80%</w:t>
            </w:r>
          </w:p>
        </w:tc>
      </w:tr>
    </w:tbl>
    <w:p w14:paraId="39A793C0" w14:textId="585E544D" w:rsidR="009B645E" w:rsidRPr="00C53FC9" w:rsidRDefault="00F6286B" w:rsidP="00F6286B">
      <w:pPr>
        <w:pStyle w:val="Caption"/>
        <w:rPr>
          <w:rFonts w:ascii="Calibri" w:hAnsi="Calibri" w:cs="Calibri"/>
        </w:rPr>
      </w:pPr>
      <w:r w:rsidRPr="00C53FC9">
        <w:rPr>
          <w:rFonts w:ascii="Calibri" w:hAnsi="Calibri" w:cs="Calibri"/>
        </w:rPr>
        <w:t xml:space="preserve">Table </w:t>
      </w:r>
      <w:r w:rsidR="00B93CD1" w:rsidRPr="00C53FC9">
        <w:rPr>
          <w:rFonts w:ascii="Calibri" w:hAnsi="Calibri" w:cs="Calibri"/>
        </w:rPr>
        <w:t>2</w:t>
      </w:r>
      <w:r w:rsidRPr="00C53FC9">
        <w:rPr>
          <w:rFonts w:ascii="Calibri" w:hAnsi="Calibri" w:cs="Calibri"/>
        </w:rPr>
        <w:t>- Mean and Median gender pay gap percentages for the last 3 years</w:t>
      </w:r>
    </w:p>
    <w:p w14:paraId="6A6E3C86" w14:textId="27215675" w:rsidR="00744F94" w:rsidRPr="00C53FC9" w:rsidRDefault="00744F94" w:rsidP="002E6E36">
      <w:pPr>
        <w:rPr>
          <w:rFonts w:ascii="Calibri" w:hAnsi="Calibri" w:cs="Calibri"/>
        </w:rPr>
      </w:pPr>
    </w:p>
    <w:tbl>
      <w:tblPr>
        <w:tblStyle w:val="GridTable5Dark-Accent1"/>
        <w:tblpPr w:leftFromText="180" w:rightFromText="180" w:vertAnchor="text" w:horzAnchor="margin" w:tblpXSpec="center" w:tblpY="55"/>
        <w:tblW w:w="9171" w:type="dxa"/>
        <w:tblLook w:val="04A0" w:firstRow="1" w:lastRow="0" w:firstColumn="1" w:lastColumn="0" w:noHBand="0" w:noVBand="1"/>
      </w:tblPr>
      <w:tblGrid>
        <w:gridCol w:w="1020"/>
        <w:gridCol w:w="905"/>
        <w:gridCol w:w="907"/>
        <w:gridCol w:w="905"/>
        <w:gridCol w:w="905"/>
        <w:gridCol w:w="907"/>
        <w:gridCol w:w="905"/>
        <w:gridCol w:w="905"/>
        <w:gridCol w:w="907"/>
        <w:gridCol w:w="905"/>
      </w:tblGrid>
      <w:tr w:rsidR="00D229C9" w:rsidRPr="00C53FC9" w14:paraId="222F087E" w14:textId="77777777" w:rsidTr="00571B52">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020" w:type="dxa"/>
          </w:tcPr>
          <w:p w14:paraId="3471740A" w14:textId="77777777" w:rsidR="00CD69C6" w:rsidRPr="00C53FC9" w:rsidRDefault="00CD69C6">
            <w:pPr>
              <w:jc w:val="center"/>
              <w:rPr>
                <w:rFonts w:ascii="Calibri" w:hAnsi="Calibri" w:cs="Calibri"/>
                <w:b w:val="0"/>
                <w:bCs w:val="0"/>
              </w:rPr>
            </w:pPr>
            <w:r w:rsidRPr="00C53FC9">
              <w:rPr>
                <w:rFonts w:ascii="Calibri" w:hAnsi="Calibri" w:cs="Calibri"/>
              </w:rPr>
              <w:t>Profile</w:t>
            </w:r>
          </w:p>
        </w:tc>
        <w:tc>
          <w:tcPr>
            <w:tcW w:w="905" w:type="dxa"/>
          </w:tcPr>
          <w:p w14:paraId="7F7D7347"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Male</w:t>
            </w:r>
          </w:p>
          <w:p w14:paraId="0ABC79B9" w14:textId="54F15D3F"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w:t>
            </w:r>
            <w:r w:rsidR="00D229C9" w:rsidRPr="00C53FC9">
              <w:rPr>
                <w:rFonts w:ascii="Calibri" w:hAnsi="Calibri" w:cs="Calibri"/>
              </w:rPr>
              <w:t>3</w:t>
            </w:r>
          </w:p>
        </w:tc>
        <w:tc>
          <w:tcPr>
            <w:tcW w:w="907" w:type="dxa"/>
          </w:tcPr>
          <w:p w14:paraId="7B9660EE"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Female</w:t>
            </w:r>
          </w:p>
          <w:p w14:paraId="5311898A" w14:textId="0762D881"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w:t>
            </w:r>
            <w:r w:rsidR="00D229C9" w:rsidRPr="00C53FC9">
              <w:rPr>
                <w:rFonts w:ascii="Calibri" w:hAnsi="Calibri" w:cs="Calibri"/>
              </w:rPr>
              <w:t>3</w:t>
            </w:r>
          </w:p>
        </w:tc>
        <w:tc>
          <w:tcPr>
            <w:tcW w:w="905" w:type="dxa"/>
          </w:tcPr>
          <w:p w14:paraId="62D64F5E" w14:textId="262B4DD4"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Pay Gap 202</w:t>
            </w:r>
            <w:r w:rsidR="00D229C9" w:rsidRPr="00C53FC9">
              <w:rPr>
                <w:rFonts w:ascii="Calibri" w:hAnsi="Calibri" w:cs="Calibri"/>
              </w:rPr>
              <w:t>3</w:t>
            </w:r>
          </w:p>
        </w:tc>
        <w:tc>
          <w:tcPr>
            <w:tcW w:w="905" w:type="dxa"/>
          </w:tcPr>
          <w:p w14:paraId="52AFB9FD"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Male</w:t>
            </w:r>
          </w:p>
          <w:p w14:paraId="3A7F0DE1" w14:textId="7BA70A20"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w:t>
            </w:r>
            <w:r w:rsidR="00D229C9" w:rsidRPr="00C53FC9">
              <w:rPr>
                <w:rFonts w:ascii="Calibri" w:hAnsi="Calibri" w:cs="Calibri"/>
              </w:rPr>
              <w:t>4</w:t>
            </w:r>
          </w:p>
        </w:tc>
        <w:tc>
          <w:tcPr>
            <w:tcW w:w="907" w:type="dxa"/>
          </w:tcPr>
          <w:p w14:paraId="37444AF4"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Female</w:t>
            </w:r>
          </w:p>
          <w:p w14:paraId="51FC40CA" w14:textId="7290784C"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202</w:t>
            </w:r>
            <w:r w:rsidR="00D229C9" w:rsidRPr="00C53FC9">
              <w:rPr>
                <w:rFonts w:ascii="Calibri" w:hAnsi="Calibri" w:cs="Calibri"/>
              </w:rPr>
              <w:t>4</w:t>
            </w:r>
          </w:p>
        </w:tc>
        <w:tc>
          <w:tcPr>
            <w:tcW w:w="905" w:type="dxa"/>
          </w:tcPr>
          <w:p w14:paraId="554E7087" w14:textId="317EBD40"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Pay Gap 202</w:t>
            </w:r>
            <w:r w:rsidR="00D229C9" w:rsidRPr="00C53FC9">
              <w:rPr>
                <w:rFonts w:ascii="Calibri" w:hAnsi="Calibri" w:cs="Calibri"/>
              </w:rPr>
              <w:t>4</w:t>
            </w:r>
          </w:p>
        </w:tc>
        <w:tc>
          <w:tcPr>
            <w:tcW w:w="905" w:type="dxa"/>
          </w:tcPr>
          <w:p w14:paraId="3D3FE181"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Male</w:t>
            </w:r>
          </w:p>
          <w:p w14:paraId="56BAF25F" w14:textId="3650E9D1"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202</w:t>
            </w:r>
            <w:r w:rsidR="00D229C9" w:rsidRPr="00C53FC9">
              <w:rPr>
                <w:rFonts w:ascii="Calibri" w:hAnsi="Calibri" w:cs="Calibri"/>
              </w:rPr>
              <w:t>5</w:t>
            </w:r>
          </w:p>
        </w:tc>
        <w:tc>
          <w:tcPr>
            <w:tcW w:w="907" w:type="dxa"/>
          </w:tcPr>
          <w:p w14:paraId="5CF0FE8D" w14:textId="77777777" w:rsidR="00CD69C6" w:rsidRPr="00C53FC9" w:rsidRDefault="00CD69C6">
            <w:pPr>
              <w:pStyle w:val="Default"/>
              <w:jc w:val="cente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C53FC9">
              <w:rPr>
                <w:color w:val="FFFFFF" w:themeColor="background1"/>
                <w:sz w:val="22"/>
                <w:szCs w:val="22"/>
              </w:rPr>
              <w:t>Female</w:t>
            </w:r>
          </w:p>
          <w:p w14:paraId="24625179" w14:textId="3DD3C707"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202</w:t>
            </w:r>
            <w:r w:rsidR="00D229C9" w:rsidRPr="00C53FC9">
              <w:rPr>
                <w:rFonts w:ascii="Calibri" w:hAnsi="Calibri" w:cs="Calibri"/>
              </w:rPr>
              <w:t>5</w:t>
            </w:r>
          </w:p>
        </w:tc>
        <w:tc>
          <w:tcPr>
            <w:tcW w:w="905" w:type="dxa"/>
          </w:tcPr>
          <w:p w14:paraId="6ADC5829" w14:textId="5BA4039C" w:rsidR="00CD69C6" w:rsidRPr="00C53FC9" w:rsidRDefault="00CD69C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Pay Gap 202</w:t>
            </w:r>
            <w:r w:rsidR="00D229C9" w:rsidRPr="00C53FC9">
              <w:rPr>
                <w:rFonts w:ascii="Calibri" w:hAnsi="Calibri" w:cs="Calibri"/>
              </w:rPr>
              <w:t>5</w:t>
            </w:r>
          </w:p>
        </w:tc>
      </w:tr>
      <w:tr w:rsidR="006C66FE" w:rsidRPr="00C53FC9" w14:paraId="4E94C7A2" w14:textId="77777777" w:rsidTr="00571B52">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020" w:type="dxa"/>
          </w:tcPr>
          <w:p w14:paraId="01659D53" w14:textId="3D54F772" w:rsidR="00CD69C6" w:rsidRPr="00C53FC9" w:rsidRDefault="00CD69C6">
            <w:pPr>
              <w:pStyle w:val="Default"/>
              <w:rPr>
                <w:b w:val="0"/>
                <w:bCs w:val="0"/>
                <w:color w:val="FFFFFF" w:themeColor="background1"/>
                <w:sz w:val="22"/>
                <w:szCs w:val="22"/>
              </w:rPr>
            </w:pPr>
            <w:r w:rsidRPr="00C53FC9">
              <w:rPr>
                <w:color w:val="FFFFFF" w:themeColor="background1"/>
                <w:sz w:val="22"/>
                <w:szCs w:val="22"/>
              </w:rPr>
              <w:t xml:space="preserve">Mean hourly pay rate </w:t>
            </w:r>
          </w:p>
          <w:p w14:paraId="32511A92" w14:textId="77777777" w:rsidR="00CD69C6" w:rsidRPr="00C53FC9" w:rsidRDefault="00CD69C6">
            <w:pPr>
              <w:rPr>
                <w:rFonts w:ascii="Calibri" w:hAnsi="Calibri" w:cs="Calibri"/>
                <w:b w:val="0"/>
                <w:bCs w:val="0"/>
              </w:rPr>
            </w:pPr>
          </w:p>
        </w:tc>
        <w:tc>
          <w:tcPr>
            <w:tcW w:w="905" w:type="dxa"/>
            <w:vAlign w:val="center"/>
          </w:tcPr>
          <w:p w14:paraId="6C752D54" w14:textId="38A8AF77" w:rsidR="00CD69C6" w:rsidRPr="00C53FC9" w:rsidRDefault="00571B52"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£39.43</w:t>
            </w:r>
          </w:p>
        </w:tc>
        <w:tc>
          <w:tcPr>
            <w:tcW w:w="907" w:type="dxa"/>
            <w:vAlign w:val="center"/>
          </w:tcPr>
          <w:p w14:paraId="6658D022" w14:textId="0EEE6C8B" w:rsidR="00CD69C6" w:rsidRPr="00C53FC9" w:rsidRDefault="00571B52"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£25.25</w:t>
            </w:r>
          </w:p>
        </w:tc>
        <w:tc>
          <w:tcPr>
            <w:tcW w:w="905" w:type="dxa"/>
            <w:vAlign w:val="center"/>
          </w:tcPr>
          <w:p w14:paraId="78359E10" w14:textId="69C1F031" w:rsidR="00CD69C6" w:rsidRPr="00C53FC9" w:rsidRDefault="00133084"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35.95%</w:t>
            </w:r>
          </w:p>
        </w:tc>
        <w:tc>
          <w:tcPr>
            <w:tcW w:w="905" w:type="dxa"/>
            <w:vAlign w:val="center"/>
          </w:tcPr>
          <w:p w14:paraId="3BFDB35D" w14:textId="0238C95F" w:rsidR="00CD69C6" w:rsidRPr="00C53FC9" w:rsidRDefault="00133084"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£43.29</w:t>
            </w:r>
          </w:p>
        </w:tc>
        <w:tc>
          <w:tcPr>
            <w:tcW w:w="907" w:type="dxa"/>
            <w:vAlign w:val="center"/>
          </w:tcPr>
          <w:p w14:paraId="0ED6D1D4" w14:textId="1758D204" w:rsidR="00CD69C6" w:rsidRPr="00C53FC9" w:rsidRDefault="00133084"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rPr>
              <w:t>£26.91</w:t>
            </w:r>
          </w:p>
        </w:tc>
        <w:tc>
          <w:tcPr>
            <w:tcW w:w="905" w:type="dxa"/>
            <w:vAlign w:val="center"/>
          </w:tcPr>
          <w:p w14:paraId="623C59BA" w14:textId="2CBB5362" w:rsidR="00CD69C6" w:rsidRPr="00C53FC9" w:rsidRDefault="00133084"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37.84%</w:t>
            </w:r>
          </w:p>
        </w:tc>
        <w:tc>
          <w:tcPr>
            <w:tcW w:w="905" w:type="dxa"/>
            <w:vAlign w:val="center"/>
          </w:tcPr>
          <w:p w14:paraId="404B18C0" w14:textId="05BC9466" w:rsidR="00CD69C6" w:rsidRPr="00CF0608" w:rsidRDefault="00CD6EB2"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£39.68</w:t>
            </w:r>
          </w:p>
        </w:tc>
        <w:tc>
          <w:tcPr>
            <w:tcW w:w="907" w:type="dxa"/>
            <w:vAlign w:val="center"/>
          </w:tcPr>
          <w:p w14:paraId="1C0151F9" w14:textId="2E2D8CDE" w:rsidR="00CD69C6" w:rsidRPr="00CF0608" w:rsidRDefault="00CD6EB2"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£28.66</w:t>
            </w:r>
          </w:p>
        </w:tc>
        <w:tc>
          <w:tcPr>
            <w:tcW w:w="905" w:type="dxa"/>
            <w:vAlign w:val="center"/>
          </w:tcPr>
          <w:p w14:paraId="79B27739" w14:textId="6D8454C6" w:rsidR="00CD69C6" w:rsidRPr="00CF0608" w:rsidRDefault="00D33F39" w:rsidP="00D229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themeColor="text1"/>
              </w:rPr>
            </w:pPr>
            <w:r w:rsidRPr="00CF0608">
              <w:rPr>
                <w:rFonts w:ascii="Calibri" w:hAnsi="Calibri" w:cs="Calibri"/>
                <w:b/>
                <w:bCs/>
                <w:color w:val="000000" w:themeColor="text1"/>
              </w:rPr>
              <w:t>27.78%</w:t>
            </w:r>
          </w:p>
        </w:tc>
      </w:tr>
      <w:tr w:rsidR="006C66FE" w:rsidRPr="00C53FC9" w14:paraId="7CAD9641" w14:textId="77777777" w:rsidTr="00571B52">
        <w:trPr>
          <w:trHeight w:val="842"/>
        </w:trPr>
        <w:tc>
          <w:tcPr>
            <w:cnfStyle w:val="001000000000" w:firstRow="0" w:lastRow="0" w:firstColumn="1" w:lastColumn="0" w:oddVBand="0" w:evenVBand="0" w:oddHBand="0" w:evenHBand="0" w:firstRowFirstColumn="0" w:firstRowLastColumn="0" w:lastRowFirstColumn="0" w:lastRowLastColumn="0"/>
            <w:tcW w:w="1020" w:type="dxa"/>
          </w:tcPr>
          <w:p w14:paraId="22780F1B" w14:textId="77777777" w:rsidR="00CD69C6" w:rsidRPr="00C53FC9" w:rsidRDefault="00CD69C6">
            <w:pPr>
              <w:rPr>
                <w:rFonts w:ascii="Calibri" w:hAnsi="Calibri" w:cs="Calibri"/>
                <w:b w:val="0"/>
                <w:bCs w:val="0"/>
              </w:rPr>
            </w:pPr>
            <w:r w:rsidRPr="00C53FC9">
              <w:rPr>
                <w:rFonts w:ascii="Calibri" w:hAnsi="Calibri" w:cs="Calibri"/>
              </w:rPr>
              <w:t xml:space="preserve">Median </w:t>
            </w:r>
            <w:r w:rsidR="00D229C9" w:rsidRPr="00C53FC9">
              <w:rPr>
                <w:rFonts w:ascii="Calibri" w:hAnsi="Calibri" w:cs="Calibri"/>
              </w:rPr>
              <w:t>hourly pay rate</w:t>
            </w:r>
          </w:p>
          <w:p w14:paraId="3CBB6A7E" w14:textId="1EAA42A9" w:rsidR="00D229C9" w:rsidRPr="00C53FC9" w:rsidRDefault="00D229C9">
            <w:pPr>
              <w:rPr>
                <w:rFonts w:ascii="Calibri" w:hAnsi="Calibri" w:cs="Calibri"/>
              </w:rPr>
            </w:pPr>
          </w:p>
        </w:tc>
        <w:tc>
          <w:tcPr>
            <w:tcW w:w="905" w:type="dxa"/>
            <w:vAlign w:val="center"/>
          </w:tcPr>
          <w:p w14:paraId="7CF1390A" w14:textId="38AF7F88" w:rsidR="00CD69C6" w:rsidRPr="00C53FC9" w:rsidRDefault="00D33F39"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£24.81</w:t>
            </w:r>
          </w:p>
        </w:tc>
        <w:tc>
          <w:tcPr>
            <w:tcW w:w="907" w:type="dxa"/>
            <w:vAlign w:val="center"/>
          </w:tcPr>
          <w:p w14:paraId="4D262998" w14:textId="0F890A37" w:rsidR="00CD69C6" w:rsidRPr="00C53FC9" w:rsidRDefault="00E827C7"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£22.40</w:t>
            </w:r>
          </w:p>
        </w:tc>
        <w:tc>
          <w:tcPr>
            <w:tcW w:w="905" w:type="dxa"/>
            <w:vAlign w:val="center"/>
          </w:tcPr>
          <w:p w14:paraId="4C169AE3" w14:textId="46D8D0ED" w:rsidR="00CD69C6" w:rsidRPr="00C53FC9" w:rsidRDefault="00E827C7"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rPr>
              <w:t>9.72%</w:t>
            </w:r>
          </w:p>
        </w:tc>
        <w:tc>
          <w:tcPr>
            <w:tcW w:w="905" w:type="dxa"/>
            <w:vAlign w:val="center"/>
          </w:tcPr>
          <w:p w14:paraId="1A40DB2C" w14:textId="6BBFBA42" w:rsidR="00CD69C6" w:rsidRPr="00C53FC9" w:rsidRDefault="00E827C7"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£26.05</w:t>
            </w:r>
          </w:p>
        </w:tc>
        <w:tc>
          <w:tcPr>
            <w:tcW w:w="907" w:type="dxa"/>
            <w:vAlign w:val="center"/>
          </w:tcPr>
          <w:p w14:paraId="4524DF41" w14:textId="5E481A24" w:rsidR="00CD69C6" w:rsidRPr="00C53FC9" w:rsidRDefault="00E827C7"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£23.52</w:t>
            </w:r>
          </w:p>
        </w:tc>
        <w:tc>
          <w:tcPr>
            <w:tcW w:w="905" w:type="dxa"/>
            <w:vAlign w:val="center"/>
          </w:tcPr>
          <w:p w14:paraId="3295AA43" w14:textId="2C7D3F57" w:rsidR="00CD69C6" w:rsidRPr="00C53FC9" w:rsidRDefault="00E827C7"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rPr>
              <w:t>9.72%</w:t>
            </w:r>
          </w:p>
        </w:tc>
        <w:tc>
          <w:tcPr>
            <w:tcW w:w="905" w:type="dxa"/>
            <w:vAlign w:val="center"/>
          </w:tcPr>
          <w:p w14:paraId="32B1AA87" w14:textId="7244200B" w:rsidR="00CD69C6" w:rsidRPr="00CF0608" w:rsidRDefault="00701A4A"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£30.94</w:t>
            </w:r>
          </w:p>
        </w:tc>
        <w:tc>
          <w:tcPr>
            <w:tcW w:w="907" w:type="dxa"/>
            <w:vAlign w:val="center"/>
          </w:tcPr>
          <w:p w14:paraId="64E7BCE1" w14:textId="2F087237" w:rsidR="00CD69C6" w:rsidRPr="00CF0608" w:rsidRDefault="00701A4A"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CF0608">
              <w:rPr>
                <w:rFonts w:ascii="Calibri" w:hAnsi="Calibri" w:cs="Calibri"/>
                <w:color w:val="000000" w:themeColor="text1"/>
              </w:rPr>
              <w:t>£24.82</w:t>
            </w:r>
          </w:p>
        </w:tc>
        <w:tc>
          <w:tcPr>
            <w:tcW w:w="905" w:type="dxa"/>
            <w:vAlign w:val="center"/>
          </w:tcPr>
          <w:p w14:paraId="2945FAA7" w14:textId="712C6068" w:rsidR="00CD69C6" w:rsidRPr="00CF0608" w:rsidRDefault="00D33F39" w:rsidP="00D229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themeColor="text1"/>
              </w:rPr>
            </w:pPr>
            <w:r w:rsidRPr="00CF0608">
              <w:rPr>
                <w:rFonts w:ascii="Calibri" w:hAnsi="Calibri" w:cs="Calibri"/>
                <w:b/>
                <w:bCs/>
                <w:color w:val="000000" w:themeColor="text1"/>
              </w:rPr>
              <w:t>19.80%</w:t>
            </w:r>
          </w:p>
        </w:tc>
      </w:tr>
    </w:tbl>
    <w:p w14:paraId="7C2DC8E3" w14:textId="45633600" w:rsidR="005279A2" w:rsidRPr="00C53FC9" w:rsidRDefault="007D6652" w:rsidP="007D6652">
      <w:pPr>
        <w:pStyle w:val="Caption"/>
        <w:rPr>
          <w:rFonts w:ascii="Calibri" w:hAnsi="Calibri" w:cs="Calibri"/>
        </w:rPr>
      </w:pPr>
      <w:r w:rsidRPr="00C53FC9">
        <w:rPr>
          <w:rFonts w:ascii="Calibri" w:hAnsi="Calibri" w:cs="Calibri"/>
        </w:rPr>
        <w:t xml:space="preserve">Table </w:t>
      </w:r>
      <w:r w:rsidR="00B93CD1" w:rsidRPr="00C53FC9">
        <w:rPr>
          <w:rFonts w:ascii="Calibri" w:hAnsi="Calibri" w:cs="Calibri"/>
        </w:rPr>
        <w:t>3</w:t>
      </w:r>
      <w:r w:rsidRPr="00C53FC9">
        <w:rPr>
          <w:rFonts w:ascii="Calibri" w:hAnsi="Calibri" w:cs="Calibri"/>
        </w:rPr>
        <w:t>- Mean and Median gender pay gap</w:t>
      </w:r>
      <w:r w:rsidR="00CC27DA" w:rsidRPr="00C53FC9">
        <w:rPr>
          <w:rFonts w:ascii="Calibri" w:hAnsi="Calibri" w:cs="Calibri"/>
        </w:rPr>
        <w:t xml:space="preserve"> hourly rate</w:t>
      </w:r>
      <w:r w:rsidRPr="00C53FC9">
        <w:rPr>
          <w:rFonts w:ascii="Calibri" w:hAnsi="Calibri" w:cs="Calibri"/>
        </w:rPr>
        <w:t xml:space="preserve"> comparisons </w:t>
      </w:r>
      <w:r w:rsidR="00CC27DA" w:rsidRPr="00C53FC9">
        <w:rPr>
          <w:rFonts w:ascii="Calibri" w:hAnsi="Calibri" w:cs="Calibri"/>
        </w:rPr>
        <w:t>between 2023 - 2025</w:t>
      </w:r>
    </w:p>
    <w:p w14:paraId="3445DAED" w14:textId="77777777" w:rsidR="002E6E36" w:rsidRPr="00C53FC9" w:rsidRDefault="002E6E36" w:rsidP="00744F94">
      <w:pPr>
        <w:ind w:left="360"/>
        <w:rPr>
          <w:rFonts w:ascii="Calibri" w:hAnsi="Calibri" w:cs="Calibri"/>
        </w:rPr>
      </w:pPr>
    </w:p>
    <w:p w14:paraId="7BBA6B29" w14:textId="3ADC01A7" w:rsidR="005279A2" w:rsidRPr="00C53FC9" w:rsidRDefault="002E6E36" w:rsidP="00962A3F">
      <w:pPr>
        <w:ind w:left="360"/>
        <w:jc w:val="both"/>
        <w:rPr>
          <w:rFonts w:ascii="Calibri" w:hAnsi="Calibri" w:cs="Calibri"/>
        </w:rPr>
      </w:pPr>
      <w:r w:rsidRPr="00C53FC9">
        <w:rPr>
          <w:rFonts w:ascii="Calibri" w:hAnsi="Calibri" w:cs="Calibri"/>
        </w:rPr>
        <w:t>The gender pay gap data from 2023 to 2025 shows a positive downward trend in the mean gap, indicating some progress toward greater pay equity within the ICB. The mean gender pay gap, which reflects the overall average difference in pay between m</w:t>
      </w:r>
      <w:r w:rsidR="00AF1F6B" w:rsidRPr="00C53FC9">
        <w:rPr>
          <w:rFonts w:ascii="Calibri" w:hAnsi="Calibri" w:cs="Calibri"/>
        </w:rPr>
        <w:t>ale</w:t>
      </w:r>
      <w:r w:rsidRPr="00C53FC9">
        <w:rPr>
          <w:rFonts w:ascii="Calibri" w:hAnsi="Calibri" w:cs="Calibri"/>
        </w:rPr>
        <w:t xml:space="preserve"> and </w:t>
      </w:r>
      <w:r w:rsidR="00AF1F6B" w:rsidRPr="00C53FC9">
        <w:rPr>
          <w:rFonts w:ascii="Calibri" w:hAnsi="Calibri" w:cs="Calibri"/>
        </w:rPr>
        <w:t xml:space="preserve">female </w:t>
      </w:r>
      <w:r w:rsidR="00961371" w:rsidRPr="00C53FC9">
        <w:rPr>
          <w:rFonts w:ascii="Calibri" w:hAnsi="Calibri" w:cs="Calibri"/>
        </w:rPr>
        <w:t>employees</w:t>
      </w:r>
      <w:r w:rsidRPr="00C53FC9">
        <w:rPr>
          <w:rFonts w:ascii="Calibri" w:hAnsi="Calibri" w:cs="Calibri"/>
        </w:rPr>
        <w:t xml:space="preserve">, was 35.95% in 2023, increased slightly to 37.84% in 2024, and then saw a significant reduction to 27.78% in 2025. Similarly, the median gender pay gap remained static at 9.72% in both 2023 and 2024, before more than doubling to 19.80% in 2025. While the drop in the mean pay gap is a positive indicator of reduced disparity at the top levels, the sharp increase in the median pay gap suggests a potential shift in the distribution of pay among mid-tier roles, possibly reflecting a change in workforce composition or promotion patterns. </w:t>
      </w:r>
      <w:r w:rsidR="00962A3F" w:rsidRPr="00C53FC9">
        <w:rPr>
          <w:rStyle w:val="Strong"/>
          <w:rFonts w:ascii="Calibri" w:hAnsi="Calibri" w:cs="Calibri"/>
          <w:b w:val="0"/>
          <w:bCs w:val="0"/>
        </w:rPr>
        <w:t>As the organisation is relatively small, with a headcount of just 622, changes in recruitment or turnover at higher pay bands can have a disproportionate impact on both the mean and median gender pay gaps.</w:t>
      </w:r>
      <w:r w:rsidR="00962A3F" w:rsidRPr="00C53FC9">
        <w:rPr>
          <w:rFonts w:ascii="Calibri" w:hAnsi="Calibri" w:cs="Calibri"/>
        </w:rPr>
        <w:t xml:space="preserve"> These trends highlight the need for continued scrutiny to ensure that improvements in average pay equality are reflected across all levels of the pay scale.</w:t>
      </w:r>
    </w:p>
    <w:p w14:paraId="1A2EEF65" w14:textId="77777777" w:rsidR="00F059D4" w:rsidRDefault="00F059D4" w:rsidP="00F059D4">
      <w:pPr>
        <w:ind w:left="360"/>
        <w:jc w:val="both"/>
        <w:rPr>
          <w:rFonts w:ascii="Calibri" w:hAnsi="Calibri" w:cs="Calibri"/>
        </w:rPr>
      </w:pPr>
    </w:p>
    <w:p w14:paraId="6672CCB0" w14:textId="77777777" w:rsidR="007B6588" w:rsidRDefault="007B6588" w:rsidP="00F059D4">
      <w:pPr>
        <w:ind w:left="360"/>
        <w:jc w:val="both"/>
        <w:rPr>
          <w:rFonts w:ascii="Calibri" w:hAnsi="Calibri" w:cs="Calibri"/>
        </w:rPr>
      </w:pPr>
    </w:p>
    <w:p w14:paraId="4D483641" w14:textId="77777777" w:rsidR="00B42F48" w:rsidRDefault="00B42F48" w:rsidP="00F059D4">
      <w:pPr>
        <w:ind w:left="360"/>
        <w:jc w:val="both"/>
        <w:rPr>
          <w:rFonts w:ascii="Calibri" w:hAnsi="Calibri" w:cs="Calibri"/>
        </w:rPr>
      </w:pPr>
    </w:p>
    <w:p w14:paraId="6980D77B" w14:textId="77777777" w:rsidR="00B42F48" w:rsidRPr="00C53FC9" w:rsidRDefault="00B42F48" w:rsidP="00F059D4">
      <w:pPr>
        <w:ind w:left="360"/>
        <w:jc w:val="both"/>
        <w:rPr>
          <w:rFonts w:ascii="Calibri" w:hAnsi="Calibri" w:cs="Calibri"/>
        </w:rPr>
      </w:pPr>
    </w:p>
    <w:p w14:paraId="0F4BFA59" w14:textId="2F6A5CDC" w:rsidR="00FC4443" w:rsidRPr="00C53FC9" w:rsidRDefault="00253637" w:rsidP="00F059D4">
      <w:pPr>
        <w:pStyle w:val="Heading3"/>
        <w:numPr>
          <w:ilvl w:val="1"/>
          <w:numId w:val="3"/>
        </w:numPr>
        <w:rPr>
          <w:rFonts w:ascii="Calibri" w:hAnsi="Calibri" w:cs="Calibri"/>
        </w:rPr>
      </w:pPr>
      <w:bookmarkStart w:id="5" w:name="_Toc200968395"/>
      <w:r w:rsidRPr="00C53FC9">
        <w:rPr>
          <w:rFonts w:ascii="Calibri" w:hAnsi="Calibri" w:cs="Calibri"/>
        </w:rPr>
        <w:lastRenderedPageBreak/>
        <w:t>Gender Bonus Pay</w:t>
      </w:r>
      <w:bookmarkEnd w:id="5"/>
    </w:p>
    <w:p w14:paraId="601A0731" w14:textId="44ECD455" w:rsidR="008558A3" w:rsidRPr="00C53FC9" w:rsidRDefault="008558A3" w:rsidP="008558A3">
      <w:pPr>
        <w:ind w:left="360"/>
        <w:jc w:val="both"/>
        <w:rPr>
          <w:rFonts w:ascii="Calibri" w:hAnsi="Calibri" w:cs="Calibri"/>
        </w:rPr>
      </w:pPr>
      <w:r w:rsidRPr="00C53FC9">
        <w:rPr>
          <w:rFonts w:ascii="Calibri" w:hAnsi="Calibri" w:cs="Calibri"/>
        </w:rPr>
        <w:t>The ICB reports no bonus gender pay gap, as no bonus payments have been made to any employees.</w:t>
      </w:r>
    </w:p>
    <w:p w14:paraId="6192D4C4" w14:textId="77777777" w:rsidR="008558A3" w:rsidRPr="00C53FC9" w:rsidRDefault="008558A3" w:rsidP="008558A3">
      <w:pPr>
        <w:ind w:left="360"/>
        <w:jc w:val="both"/>
        <w:rPr>
          <w:rFonts w:ascii="Calibri" w:hAnsi="Calibri" w:cs="Calibri"/>
        </w:rPr>
      </w:pPr>
      <w:r w:rsidRPr="00C53FC9">
        <w:rPr>
          <w:rFonts w:ascii="Calibri" w:hAnsi="Calibri" w:cs="Calibri"/>
        </w:rPr>
        <w:t>While the terms and conditions for senior managers and directors permit the option of bonus payments as part of Executive and Senior Manager remuneration arrangements, this provision has not been exercised. Furthermore, the Agenda for Change (AfC) terms and conditions, which apply to the majority of the workforce, do not include scope for bonus payments.</w:t>
      </w:r>
    </w:p>
    <w:p w14:paraId="5C80BFB5" w14:textId="58F9479B" w:rsidR="00F059D4" w:rsidRDefault="008558A3" w:rsidP="008558A3">
      <w:pPr>
        <w:ind w:left="360"/>
        <w:jc w:val="both"/>
        <w:rPr>
          <w:rFonts w:ascii="Calibri" w:hAnsi="Calibri" w:cs="Calibri"/>
        </w:rPr>
      </w:pPr>
      <w:r w:rsidRPr="00C53FC9">
        <w:rPr>
          <w:rFonts w:ascii="Calibri" w:hAnsi="Calibri" w:cs="Calibri"/>
        </w:rPr>
        <w:t>Consequently, there are no male or female employees in receipt of bonuses.</w:t>
      </w:r>
    </w:p>
    <w:p w14:paraId="6A04517B" w14:textId="77777777" w:rsidR="00B42F48" w:rsidRPr="00C53FC9" w:rsidRDefault="00B42F48" w:rsidP="008558A3">
      <w:pPr>
        <w:ind w:left="360"/>
        <w:jc w:val="both"/>
        <w:rPr>
          <w:rFonts w:ascii="Calibri" w:hAnsi="Calibri" w:cs="Calibri"/>
        </w:rPr>
      </w:pPr>
    </w:p>
    <w:p w14:paraId="2A89B46B" w14:textId="2A99C6A7" w:rsidR="00253637" w:rsidRPr="00C53FC9" w:rsidRDefault="00253637" w:rsidP="002C574E">
      <w:pPr>
        <w:pStyle w:val="Heading3"/>
        <w:numPr>
          <w:ilvl w:val="1"/>
          <w:numId w:val="3"/>
        </w:numPr>
        <w:rPr>
          <w:rFonts w:ascii="Calibri" w:hAnsi="Calibri" w:cs="Calibri"/>
        </w:rPr>
      </w:pPr>
      <w:bookmarkStart w:id="6" w:name="_Toc200968396"/>
      <w:r w:rsidRPr="00C53FC9">
        <w:rPr>
          <w:rFonts w:ascii="Calibri" w:hAnsi="Calibri" w:cs="Calibri"/>
        </w:rPr>
        <w:t>Pay Distribution by Quartile</w:t>
      </w:r>
      <w:bookmarkEnd w:id="6"/>
    </w:p>
    <w:p w14:paraId="407D2EDF" w14:textId="74D1CC4C" w:rsidR="002C574E" w:rsidRPr="00C53FC9" w:rsidRDefault="002C574E" w:rsidP="002C574E">
      <w:pPr>
        <w:ind w:left="360"/>
        <w:jc w:val="both"/>
        <w:rPr>
          <w:rFonts w:ascii="Calibri" w:hAnsi="Calibri" w:cs="Calibri"/>
        </w:rPr>
      </w:pPr>
      <w:r w:rsidRPr="00C53FC9">
        <w:rPr>
          <w:rFonts w:ascii="Calibri" w:hAnsi="Calibri" w:cs="Calibri"/>
        </w:rPr>
        <w:t>The data below is achieved by dividing the workforce into four equal parts (quartiles). All</w:t>
      </w:r>
      <w:r w:rsidR="00902523" w:rsidRPr="00C53FC9">
        <w:rPr>
          <w:rFonts w:ascii="Calibri" w:hAnsi="Calibri" w:cs="Calibri"/>
        </w:rPr>
        <w:t xml:space="preserve"> employees</w:t>
      </w:r>
      <w:r w:rsidRPr="00C53FC9">
        <w:rPr>
          <w:rFonts w:ascii="Calibri" w:hAnsi="Calibri" w:cs="Calibri"/>
        </w:rPr>
        <w:t xml:space="preserve"> are ranked from the lowest hourly rate of pay to the highest. The rank order is then divided into four sections with an equal number of </w:t>
      </w:r>
      <w:r w:rsidR="00902523" w:rsidRPr="00C53FC9">
        <w:rPr>
          <w:rFonts w:ascii="Calibri" w:hAnsi="Calibri" w:cs="Calibri"/>
        </w:rPr>
        <w:t>employees</w:t>
      </w:r>
      <w:r w:rsidRPr="00C53FC9">
        <w:rPr>
          <w:rFonts w:ascii="Calibri" w:hAnsi="Calibri" w:cs="Calibri"/>
        </w:rPr>
        <w:t xml:space="preserve"> in each.</w:t>
      </w:r>
    </w:p>
    <w:p w14:paraId="5DCD7361" w14:textId="77777777" w:rsidR="002C574E" w:rsidRPr="00C53FC9" w:rsidRDefault="002C574E" w:rsidP="002C574E">
      <w:pPr>
        <w:ind w:left="360"/>
        <w:rPr>
          <w:rFonts w:ascii="Calibri" w:hAnsi="Calibri" w:cs="Calibri"/>
        </w:rPr>
      </w:pPr>
    </w:p>
    <w:tbl>
      <w:tblPr>
        <w:tblStyle w:val="GridTable5Dark-Accent1"/>
        <w:tblW w:w="0" w:type="auto"/>
        <w:tblLook w:val="04A0" w:firstRow="1" w:lastRow="0" w:firstColumn="1" w:lastColumn="0" w:noHBand="0" w:noVBand="1"/>
      </w:tblPr>
      <w:tblGrid>
        <w:gridCol w:w="1803"/>
        <w:gridCol w:w="1803"/>
        <w:gridCol w:w="1803"/>
        <w:gridCol w:w="1803"/>
        <w:gridCol w:w="1804"/>
      </w:tblGrid>
      <w:tr w:rsidR="00D117F1" w:rsidRPr="00C53FC9" w14:paraId="0AAD62B8" w14:textId="77777777" w:rsidTr="009F14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7428278" w14:textId="3027F0BE" w:rsidR="00D117F1" w:rsidRPr="00C53FC9" w:rsidRDefault="00466A46" w:rsidP="00466A46">
            <w:pPr>
              <w:jc w:val="center"/>
              <w:rPr>
                <w:rFonts w:ascii="Calibri" w:hAnsi="Calibri" w:cs="Calibri"/>
              </w:rPr>
            </w:pPr>
            <w:r w:rsidRPr="00C53FC9">
              <w:rPr>
                <w:rFonts w:ascii="Calibri" w:hAnsi="Calibri" w:cs="Calibri"/>
              </w:rPr>
              <w:t>Quartile</w:t>
            </w:r>
          </w:p>
        </w:tc>
        <w:tc>
          <w:tcPr>
            <w:tcW w:w="1803" w:type="dxa"/>
          </w:tcPr>
          <w:p w14:paraId="0D93F8E2" w14:textId="27F7E307" w:rsidR="00D117F1" w:rsidRPr="00C53FC9" w:rsidRDefault="00466A46" w:rsidP="00466A4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Female</w:t>
            </w:r>
          </w:p>
        </w:tc>
        <w:tc>
          <w:tcPr>
            <w:tcW w:w="1803" w:type="dxa"/>
          </w:tcPr>
          <w:p w14:paraId="00BFADED" w14:textId="2F57026C" w:rsidR="00D117F1" w:rsidRPr="00C53FC9" w:rsidRDefault="00466A46" w:rsidP="00466A4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Male</w:t>
            </w:r>
          </w:p>
        </w:tc>
        <w:tc>
          <w:tcPr>
            <w:tcW w:w="1803" w:type="dxa"/>
          </w:tcPr>
          <w:p w14:paraId="54801CF0" w14:textId="2177312A" w:rsidR="00D117F1" w:rsidRPr="00C53FC9" w:rsidRDefault="00466A46" w:rsidP="00466A4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Female %</w:t>
            </w:r>
          </w:p>
        </w:tc>
        <w:tc>
          <w:tcPr>
            <w:tcW w:w="1804" w:type="dxa"/>
          </w:tcPr>
          <w:p w14:paraId="51E2F3BC" w14:textId="6D0468F7" w:rsidR="00D117F1" w:rsidRPr="00C53FC9" w:rsidRDefault="00466A46" w:rsidP="00466A4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rPr>
              <w:t>Male %</w:t>
            </w:r>
          </w:p>
        </w:tc>
      </w:tr>
      <w:tr w:rsidR="009F149E" w:rsidRPr="00C53FC9" w14:paraId="73F32D25" w14:textId="77777777" w:rsidTr="009F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8B0E424" w14:textId="074B7CB9" w:rsidR="009F149E" w:rsidRPr="00C53FC9" w:rsidRDefault="009F149E" w:rsidP="009F149E">
            <w:pPr>
              <w:jc w:val="center"/>
              <w:rPr>
                <w:rFonts w:ascii="Calibri" w:hAnsi="Calibri" w:cs="Calibri"/>
              </w:rPr>
            </w:pPr>
            <w:r w:rsidRPr="00C53FC9">
              <w:rPr>
                <w:rFonts w:ascii="Calibri" w:hAnsi="Calibri" w:cs="Calibri"/>
              </w:rPr>
              <w:t>1</w:t>
            </w:r>
          </w:p>
        </w:tc>
        <w:tc>
          <w:tcPr>
            <w:tcW w:w="1803" w:type="dxa"/>
          </w:tcPr>
          <w:p w14:paraId="752D14DD" w14:textId="3974266E"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129</w:t>
            </w:r>
          </w:p>
        </w:tc>
        <w:tc>
          <w:tcPr>
            <w:tcW w:w="1803" w:type="dxa"/>
          </w:tcPr>
          <w:p w14:paraId="5D864FAE" w14:textId="37F30FCC"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15</w:t>
            </w:r>
          </w:p>
        </w:tc>
        <w:tc>
          <w:tcPr>
            <w:tcW w:w="1803" w:type="dxa"/>
          </w:tcPr>
          <w:p w14:paraId="04ABA78C" w14:textId="02B1C3AE"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89.58</w:t>
            </w:r>
          </w:p>
        </w:tc>
        <w:tc>
          <w:tcPr>
            <w:tcW w:w="1804" w:type="dxa"/>
          </w:tcPr>
          <w:p w14:paraId="48475776" w14:textId="78AC9105"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10.42</w:t>
            </w:r>
          </w:p>
        </w:tc>
      </w:tr>
      <w:tr w:rsidR="009F149E" w:rsidRPr="00C53FC9" w14:paraId="68D42861" w14:textId="77777777" w:rsidTr="009F149E">
        <w:tc>
          <w:tcPr>
            <w:cnfStyle w:val="001000000000" w:firstRow="0" w:lastRow="0" w:firstColumn="1" w:lastColumn="0" w:oddVBand="0" w:evenVBand="0" w:oddHBand="0" w:evenHBand="0" w:firstRowFirstColumn="0" w:firstRowLastColumn="0" w:lastRowFirstColumn="0" w:lastRowLastColumn="0"/>
            <w:tcW w:w="1803" w:type="dxa"/>
          </w:tcPr>
          <w:p w14:paraId="5317D821" w14:textId="75FC748F" w:rsidR="009F149E" w:rsidRPr="00C53FC9" w:rsidRDefault="009F149E" w:rsidP="009F149E">
            <w:pPr>
              <w:jc w:val="center"/>
              <w:rPr>
                <w:rFonts w:ascii="Calibri" w:hAnsi="Calibri" w:cs="Calibri"/>
              </w:rPr>
            </w:pPr>
            <w:r w:rsidRPr="00C53FC9">
              <w:rPr>
                <w:rFonts w:ascii="Calibri" w:hAnsi="Calibri" w:cs="Calibri"/>
              </w:rPr>
              <w:t>2</w:t>
            </w:r>
          </w:p>
        </w:tc>
        <w:tc>
          <w:tcPr>
            <w:tcW w:w="1803" w:type="dxa"/>
          </w:tcPr>
          <w:p w14:paraId="54CB5536" w14:textId="0F447079"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126</w:t>
            </w:r>
          </w:p>
        </w:tc>
        <w:tc>
          <w:tcPr>
            <w:tcW w:w="1803" w:type="dxa"/>
          </w:tcPr>
          <w:p w14:paraId="1790CFB0" w14:textId="4F9B7B8B"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42</w:t>
            </w:r>
          </w:p>
        </w:tc>
        <w:tc>
          <w:tcPr>
            <w:tcW w:w="1803" w:type="dxa"/>
          </w:tcPr>
          <w:p w14:paraId="297C48F6" w14:textId="3E727C01"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75</w:t>
            </w:r>
            <w:r w:rsidR="007F1E13" w:rsidRPr="00C53FC9">
              <w:rPr>
                <w:rFonts w:ascii="Calibri" w:hAnsi="Calibri" w:cs="Calibri"/>
                <w:color w:val="000000"/>
              </w:rPr>
              <w:t>.00</w:t>
            </w:r>
          </w:p>
        </w:tc>
        <w:tc>
          <w:tcPr>
            <w:tcW w:w="1804" w:type="dxa"/>
          </w:tcPr>
          <w:p w14:paraId="2007DDC9" w14:textId="6352619F"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25</w:t>
            </w:r>
            <w:r w:rsidR="007F1E13" w:rsidRPr="00C53FC9">
              <w:rPr>
                <w:rFonts w:ascii="Calibri" w:hAnsi="Calibri" w:cs="Calibri"/>
                <w:color w:val="000000"/>
              </w:rPr>
              <w:t>.00</w:t>
            </w:r>
          </w:p>
        </w:tc>
      </w:tr>
      <w:tr w:rsidR="009F149E" w:rsidRPr="00C53FC9" w14:paraId="6DCFE215" w14:textId="77777777" w:rsidTr="009F14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E1E1291" w14:textId="71108A5B" w:rsidR="009F149E" w:rsidRPr="00C53FC9" w:rsidRDefault="009F149E" w:rsidP="009F149E">
            <w:pPr>
              <w:jc w:val="center"/>
              <w:rPr>
                <w:rFonts w:ascii="Calibri" w:hAnsi="Calibri" w:cs="Calibri"/>
              </w:rPr>
            </w:pPr>
            <w:r w:rsidRPr="00C53FC9">
              <w:rPr>
                <w:rFonts w:ascii="Calibri" w:hAnsi="Calibri" w:cs="Calibri"/>
              </w:rPr>
              <w:t>3</w:t>
            </w:r>
          </w:p>
        </w:tc>
        <w:tc>
          <w:tcPr>
            <w:tcW w:w="1803" w:type="dxa"/>
          </w:tcPr>
          <w:p w14:paraId="52BB0BC8" w14:textId="5F993400"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128</w:t>
            </w:r>
          </w:p>
        </w:tc>
        <w:tc>
          <w:tcPr>
            <w:tcW w:w="1803" w:type="dxa"/>
          </w:tcPr>
          <w:p w14:paraId="6CBFDFF4" w14:textId="136CDA9D"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47</w:t>
            </w:r>
          </w:p>
        </w:tc>
        <w:tc>
          <w:tcPr>
            <w:tcW w:w="1803" w:type="dxa"/>
          </w:tcPr>
          <w:p w14:paraId="17FF8DDA" w14:textId="520B811E"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73.14</w:t>
            </w:r>
          </w:p>
        </w:tc>
        <w:tc>
          <w:tcPr>
            <w:tcW w:w="1804" w:type="dxa"/>
          </w:tcPr>
          <w:p w14:paraId="41F1A190" w14:textId="1E652BB3" w:rsidR="009F149E" w:rsidRPr="00C53FC9" w:rsidRDefault="009F149E" w:rsidP="009F149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26.86</w:t>
            </w:r>
          </w:p>
        </w:tc>
      </w:tr>
      <w:tr w:rsidR="009F149E" w:rsidRPr="00C53FC9" w14:paraId="6D45BF32" w14:textId="77777777" w:rsidTr="009F149E">
        <w:tc>
          <w:tcPr>
            <w:cnfStyle w:val="001000000000" w:firstRow="0" w:lastRow="0" w:firstColumn="1" w:lastColumn="0" w:oddVBand="0" w:evenVBand="0" w:oddHBand="0" w:evenHBand="0" w:firstRowFirstColumn="0" w:firstRowLastColumn="0" w:lastRowFirstColumn="0" w:lastRowLastColumn="0"/>
            <w:tcW w:w="1803" w:type="dxa"/>
          </w:tcPr>
          <w:p w14:paraId="5B21387D" w14:textId="2298C15E" w:rsidR="009F149E" w:rsidRPr="00C53FC9" w:rsidRDefault="009F149E" w:rsidP="009F149E">
            <w:pPr>
              <w:jc w:val="center"/>
              <w:rPr>
                <w:rFonts w:ascii="Calibri" w:hAnsi="Calibri" w:cs="Calibri"/>
              </w:rPr>
            </w:pPr>
            <w:r w:rsidRPr="00C53FC9">
              <w:rPr>
                <w:rFonts w:ascii="Calibri" w:hAnsi="Calibri" w:cs="Calibri"/>
              </w:rPr>
              <w:t>4</w:t>
            </w:r>
          </w:p>
        </w:tc>
        <w:tc>
          <w:tcPr>
            <w:tcW w:w="1803" w:type="dxa"/>
          </w:tcPr>
          <w:p w14:paraId="2480ECCD" w14:textId="2A4A36AA"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94</w:t>
            </w:r>
          </w:p>
        </w:tc>
        <w:tc>
          <w:tcPr>
            <w:tcW w:w="1803" w:type="dxa"/>
          </w:tcPr>
          <w:p w14:paraId="010942B4" w14:textId="7C1FD9EB"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69</w:t>
            </w:r>
          </w:p>
        </w:tc>
        <w:tc>
          <w:tcPr>
            <w:tcW w:w="1803" w:type="dxa"/>
          </w:tcPr>
          <w:p w14:paraId="5B5098C7" w14:textId="6CF7F51E"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57.67</w:t>
            </w:r>
          </w:p>
        </w:tc>
        <w:tc>
          <w:tcPr>
            <w:tcW w:w="1804" w:type="dxa"/>
          </w:tcPr>
          <w:p w14:paraId="3E01FCA3" w14:textId="7F837DB3" w:rsidR="009F149E" w:rsidRPr="00C53FC9" w:rsidRDefault="009F149E" w:rsidP="009F149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42.33</w:t>
            </w:r>
          </w:p>
        </w:tc>
      </w:tr>
    </w:tbl>
    <w:p w14:paraId="0A34574D" w14:textId="59E86F40" w:rsidR="00D117F1" w:rsidRPr="00C53FC9" w:rsidRDefault="004C3947" w:rsidP="004C3947">
      <w:pPr>
        <w:pStyle w:val="Caption"/>
        <w:rPr>
          <w:rFonts w:ascii="Calibri" w:hAnsi="Calibri" w:cs="Calibri"/>
        </w:rPr>
      </w:pPr>
      <w:r w:rsidRPr="00C53FC9">
        <w:rPr>
          <w:rFonts w:ascii="Calibri" w:hAnsi="Calibri" w:cs="Calibri"/>
        </w:rPr>
        <w:t xml:space="preserve">Table </w:t>
      </w:r>
      <w:r w:rsidR="00B93CD1" w:rsidRPr="00C53FC9">
        <w:rPr>
          <w:rFonts w:ascii="Calibri" w:hAnsi="Calibri" w:cs="Calibri"/>
        </w:rPr>
        <w:t>4</w:t>
      </w:r>
      <w:r w:rsidRPr="00C53FC9">
        <w:rPr>
          <w:rFonts w:ascii="Calibri" w:hAnsi="Calibri" w:cs="Calibri"/>
        </w:rPr>
        <w:t xml:space="preserve">- Male and </w:t>
      </w:r>
      <w:r w:rsidR="00FD5AC4" w:rsidRPr="00C53FC9">
        <w:rPr>
          <w:rFonts w:ascii="Calibri" w:hAnsi="Calibri" w:cs="Calibri"/>
        </w:rPr>
        <w:t>Female split across quartiles</w:t>
      </w:r>
    </w:p>
    <w:p w14:paraId="5524DE44" w14:textId="77777777" w:rsidR="00262F33" w:rsidRPr="00C53FC9" w:rsidRDefault="00262F33" w:rsidP="00262F33">
      <w:pPr>
        <w:rPr>
          <w:rFonts w:ascii="Calibri" w:hAnsi="Calibri" w:cs="Calibri"/>
        </w:rPr>
      </w:pPr>
    </w:p>
    <w:p w14:paraId="356A381F" w14:textId="77777777" w:rsidR="009B3729" w:rsidRPr="00C53FC9" w:rsidRDefault="009B3729" w:rsidP="009B3729">
      <w:pPr>
        <w:ind w:left="360"/>
        <w:jc w:val="both"/>
        <w:rPr>
          <w:rFonts w:ascii="Calibri" w:hAnsi="Calibri" w:cs="Calibri"/>
        </w:rPr>
      </w:pPr>
      <w:r w:rsidRPr="00C53FC9">
        <w:rPr>
          <w:rFonts w:ascii="Calibri" w:hAnsi="Calibri" w:cs="Calibri"/>
        </w:rPr>
        <w:t>The quartile data illustrates a clear trend of increasing male representation in the higher pay quartiles. In the lowest pay quartile (Quartile 1), female employees make up a dominant 89.58%, with males comprising only 10.42%. As we move up the pay scale, the proportion of male employees steadily increases to 25.00% in Quartile 2, 26.86% in Quartile 3, and 42.33% in the highest pay quartile (Quartile 4). Correspondingly, the proportion of female employees decreases from 75.00% in Quartile 2 to 57.67% in Quartile 4. This pattern suggests that men are more likely to occupy higher-paying roles within the ICB, while female employees are more heavily represented in lower-paid positions. Given the overall higher proportion of female employees in the workforce, this imbalance in pay distribution contributes to the resulting gender pay gap. It also highlights the importance of targeted strategies to ensure equitable progression and representation in senior or higher-paying roles.</w:t>
      </w:r>
    </w:p>
    <w:p w14:paraId="52020402" w14:textId="77777777" w:rsidR="00393B00" w:rsidRPr="00C53FC9" w:rsidRDefault="00393B00" w:rsidP="009B3729">
      <w:pPr>
        <w:ind w:left="360"/>
        <w:jc w:val="both"/>
        <w:rPr>
          <w:rFonts w:ascii="Calibri" w:hAnsi="Calibri" w:cs="Calibri"/>
        </w:rPr>
      </w:pPr>
    </w:p>
    <w:p w14:paraId="29CCFE76" w14:textId="77777777" w:rsidR="00393B00" w:rsidRPr="00C53FC9" w:rsidRDefault="00393B00" w:rsidP="009B3729">
      <w:pPr>
        <w:ind w:left="360"/>
        <w:jc w:val="both"/>
        <w:rPr>
          <w:rFonts w:ascii="Calibri" w:hAnsi="Calibri" w:cs="Calibri"/>
        </w:rPr>
      </w:pPr>
    </w:p>
    <w:p w14:paraId="0617C70E" w14:textId="77777777" w:rsidR="00393B00" w:rsidRPr="00C53FC9" w:rsidRDefault="00393B00" w:rsidP="009B3729">
      <w:pPr>
        <w:ind w:left="360"/>
        <w:jc w:val="both"/>
        <w:rPr>
          <w:rFonts w:ascii="Calibri" w:hAnsi="Calibri" w:cs="Calibri"/>
        </w:rPr>
      </w:pPr>
    </w:p>
    <w:p w14:paraId="46ED3254" w14:textId="77777777" w:rsidR="00393B00" w:rsidRPr="00C53FC9" w:rsidRDefault="00393B00" w:rsidP="009B3729">
      <w:pPr>
        <w:ind w:left="360"/>
        <w:jc w:val="both"/>
        <w:rPr>
          <w:rFonts w:ascii="Calibri" w:hAnsi="Calibri" w:cs="Calibri"/>
        </w:rPr>
      </w:pPr>
    </w:p>
    <w:p w14:paraId="41E2D3A6" w14:textId="77777777" w:rsidR="00393B00" w:rsidRPr="00C53FC9" w:rsidRDefault="00393B00" w:rsidP="009B3729">
      <w:pPr>
        <w:ind w:left="360"/>
        <w:jc w:val="both"/>
        <w:rPr>
          <w:rFonts w:ascii="Calibri" w:hAnsi="Calibri" w:cs="Calibri"/>
        </w:rPr>
      </w:pPr>
    </w:p>
    <w:p w14:paraId="10919559" w14:textId="77777777" w:rsidR="00393B00" w:rsidRPr="00C53FC9" w:rsidRDefault="00393B00" w:rsidP="009B3729">
      <w:pPr>
        <w:ind w:left="360"/>
        <w:jc w:val="both"/>
        <w:rPr>
          <w:rFonts w:ascii="Calibri" w:hAnsi="Calibri" w:cs="Calibri"/>
        </w:rPr>
      </w:pPr>
    </w:p>
    <w:p w14:paraId="67475377" w14:textId="4A666A66" w:rsidR="003D027F" w:rsidRPr="00C53FC9" w:rsidRDefault="003D027F" w:rsidP="00D718F9">
      <w:pPr>
        <w:pStyle w:val="Heading3"/>
        <w:numPr>
          <w:ilvl w:val="1"/>
          <w:numId w:val="3"/>
        </w:numPr>
        <w:rPr>
          <w:rFonts w:ascii="Calibri" w:hAnsi="Calibri" w:cs="Calibri"/>
        </w:rPr>
      </w:pPr>
      <w:bookmarkStart w:id="7" w:name="_Toc200968397"/>
      <w:r w:rsidRPr="00C53FC9">
        <w:rPr>
          <w:rFonts w:ascii="Calibri" w:hAnsi="Calibri" w:cs="Calibri"/>
        </w:rPr>
        <w:lastRenderedPageBreak/>
        <w:t>Gender Pay by Banding</w:t>
      </w:r>
      <w:bookmarkEnd w:id="7"/>
    </w:p>
    <w:tbl>
      <w:tblPr>
        <w:tblStyle w:val="GridTable5Dark-Accent1"/>
        <w:tblW w:w="9493" w:type="dxa"/>
        <w:tblLook w:val="04A0" w:firstRow="1" w:lastRow="0" w:firstColumn="1" w:lastColumn="0" w:noHBand="0" w:noVBand="1"/>
      </w:tblPr>
      <w:tblGrid>
        <w:gridCol w:w="1208"/>
        <w:gridCol w:w="1906"/>
        <w:gridCol w:w="2126"/>
        <w:gridCol w:w="2315"/>
        <w:gridCol w:w="1938"/>
      </w:tblGrid>
      <w:tr w:rsidR="00740069" w:rsidRPr="00C53FC9" w14:paraId="191977FD" w14:textId="77777777" w:rsidTr="00061695">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293C58F1" w14:textId="77777777" w:rsidR="004611D3" w:rsidRPr="00C53FC9" w:rsidRDefault="004611D3">
            <w:pPr>
              <w:rPr>
                <w:rFonts w:ascii="Calibri" w:hAnsi="Calibri" w:cs="Calibri"/>
              </w:rPr>
            </w:pPr>
            <w:r w:rsidRPr="00C53FC9">
              <w:rPr>
                <w:rFonts w:ascii="Calibri" w:hAnsi="Calibri" w:cs="Calibri"/>
              </w:rPr>
              <w:t> </w:t>
            </w:r>
          </w:p>
        </w:tc>
        <w:tc>
          <w:tcPr>
            <w:tcW w:w="1906" w:type="dxa"/>
            <w:noWrap/>
            <w:hideMark/>
          </w:tcPr>
          <w:p w14:paraId="0B2CD624" w14:textId="0A448F28" w:rsidR="004611D3" w:rsidRPr="00C53FC9" w:rsidRDefault="004611D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Female</w:t>
            </w:r>
            <w:r w:rsidR="008627B9">
              <w:rPr>
                <w:rFonts w:ascii="Calibri" w:hAnsi="Calibri" w:cs="Calibri"/>
                <w:b w:val="0"/>
                <w:bCs w:val="0"/>
              </w:rPr>
              <w:t xml:space="preserve"> </w:t>
            </w:r>
            <w:r w:rsidR="00061695">
              <w:rPr>
                <w:rFonts w:ascii="Calibri" w:hAnsi="Calibri" w:cs="Calibri"/>
                <w:b w:val="0"/>
                <w:bCs w:val="0"/>
              </w:rPr>
              <w:br/>
            </w:r>
            <w:r w:rsidR="008627B9">
              <w:rPr>
                <w:rFonts w:ascii="Calibri" w:hAnsi="Calibri" w:cs="Calibri"/>
                <w:b w:val="0"/>
                <w:bCs w:val="0"/>
              </w:rPr>
              <w:t>(Headcount)</w:t>
            </w:r>
          </w:p>
        </w:tc>
        <w:tc>
          <w:tcPr>
            <w:tcW w:w="2126" w:type="dxa"/>
            <w:noWrap/>
            <w:hideMark/>
          </w:tcPr>
          <w:p w14:paraId="521FEC95" w14:textId="0334A2FD" w:rsidR="008627B9" w:rsidRPr="00C53FC9" w:rsidRDefault="004611D3" w:rsidP="008627B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Male</w:t>
            </w:r>
            <w:r w:rsidR="008627B9">
              <w:rPr>
                <w:rFonts w:ascii="Calibri" w:hAnsi="Calibri" w:cs="Calibri"/>
                <w:b w:val="0"/>
                <w:bCs w:val="0"/>
              </w:rPr>
              <w:t xml:space="preserve"> </w:t>
            </w:r>
            <w:r w:rsidR="00061695">
              <w:rPr>
                <w:rFonts w:ascii="Calibri" w:hAnsi="Calibri" w:cs="Calibri"/>
                <w:b w:val="0"/>
                <w:bCs w:val="0"/>
              </w:rPr>
              <w:br/>
            </w:r>
            <w:r w:rsidR="008627B9">
              <w:rPr>
                <w:rFonts w:ascii="Calibri" w:hAnsi="Calibri" w:cs="Calibri"/>
                <w:b w:val="0"/>
                <w:bCs w:val="0"/>
              </w:rPr>
              <w:t>(Headcount)</w:t>
            </w:r>
          </w:p>
        </w:tc>
        <w:tc>
          <w:tcPr>
            <w:tcW w:w="2315" w:type="dxa"/>
            <w:noWrap/>
            <w:hideMark/>
          </w:tcPr>
          <w:p w14:paraId="2DC3F13D" w14:textId="155D72E5" w:rsidR="004611D3" w:rsidRPr="00C53FC9" w:rsidRDefault="004611D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Female</w:t>
            </w:r>
            <w:r w:rsidR="008627B9">
              <w:rPr>
                <w:rFonts w:ascii="Calibri" w:hAnsi="Calibri" w:cs="Calibri"/>
                <w:b w:val="0"/>
                <w:bCs w:val="0"/>
              </w:rPr>
              <w:t xml:space="preserve"> </w:t>
            </w:r>
            <w:r w:rsidR="00061695">
              <w:rPr>
                <w:rFonts w:ascii="Calibri" w:hAnsi="Calibri" w:cs="Calibri"/>
                <w:b w:val="0"/>
                <w:bCs w:val="0"/>
              </w:rPr>
              <w:br/>
            </w:r>
            <w:r w:rsidR="008627B9">
              <w:rPr>
                <w:rFonts w:ascii="Calibri" w:hAnsi="Calibri" w:cs="Calibri"/>
                <w:b w:val="0"/>
                <w:bCs w:val="0"/>
              </w:rPr>
              <w:t>(Percentage)</w:t>
            </w:r>
          </w:p>
        </w:tc>
        <w:tc>
          <w:tcPr>
            <w:tcW w:w="1938" w:type="dxa"/>
            <w:noWrap/>
            <w:hideMark/>
          </w:tcPr>
          <w:p w14:paraId="510A7438" w14:textId="3D0D6A66" w:rsidR="004611D3" w:rsidRPr="00C53FC9" w:rsidRDefault="004611D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53FC9">
              <w:rPr>
                <w:rFonts w:ascii="Calibri" w:hAnsi="Calibri" w:cs="Calibri"/>
              </w:rPr>
              <w:t>Male</w:t>
            </w:r>
            <w:r w:rsidR="008627B9">
              <w:rPr>
                <w:rFonts w:ascii="Calibri" w:hAnsi="Calibri" w:cs="Calibri"/>
                <w:b w:val="0"/>
                <w:bCs w:val="0"/>
              </w:rPr>
              <w:t xml:space="preserve"> </w:t>
            </w:r>
            <w:r w:rsidR="00061695">
              <w:rPr>
                <w:rFonts w:ascii="Calibri" w:hAnsi="Calibri" w:cs="Calibri"/>
                <w:b w:val="0"/>
                <w:bCs w:val="0"/>
              </w:rPr>
              <w:br/>
            </w:r>
            <w:r w:rsidR="008627B9">
              <w:rPr>
                <w:rFonts w:ascii="Calibri" w:hAnsi="Calibri" w:cs="Calibri"/>
                <w:b w:val="0"/>
                <w:bCs w:val="0"/>
              </w:rPr>
              <w:t>(Percentage)</w:t>
            </w:r>
          </w:p>
        </w:tc>
      </w:tr>
      <w:tr w:rsidR="0055549D" w:rsidRPr="00C53FC9" w14:paraId="062A850F"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shd w:val="clear" w:color="auto" w:fill="ADADAD" w:themeFill="background2" w:themeFillShade="BF"/>
            <w:noWrap/>
            <w:hideMark/>
          </w:tcPr>
          <w:p w14:paraId="011CF11E" w14:textId="1434FE2C" w:rsidR="0055549D" w:rsidRPr="008627B9" w:rsidRDefault="0055549D" w:rsidP="0055549D">
            <w:pPr>
              <w:rPr>
                <w:rFonts w:ascii="Calibri" w:hAnsi="Calibri" w:cs="Calibri"/>
                <w:b w:val="0"/>
                <w:bCs w:val="0"/>
                <w:color w:val="0D0D0D" w:themeColor="text1" w:themeTint="F2"/>
              </w:rPr>
            </w:pPr>
            <w:r w:rsidRPr="008627B9">
              <w:rPr>
                <w:rFonts w:ascii="Calibri" w:hAnsi="Calibri" w:cs="Calibri"/>
                <w:color w:val="0D0D0D" w:themeColor="text1" w:themeTint="F2"/>
              </w:rPr>
              <w:t>Full Time</w:t>
            </w:r>
          </w:p>
        </w:tc>
        <w:tc>
          <w:tcPr>
            <w:tcW w:w="1906" w:type="dxa"/>
            <w:noWrap/>
            <w:hideMark/>
          </w:tcPr>
          <w:p w14:paraId="4E5AB4F5" w14:textId="45DDDA94"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color w:val="000000"/>
              </w:rPr>
              <w:t>332</w:t>
            </w:r>
          </w:p>
        </w:tc>
        <w:tc>
          <w:tcPr>
            <w:tcW w:w="2126" w:type="dxa"/>
            <w:noWrap/>
            <w:hideMark/>
          </w:tcPr>
          <w:p w14:paraId="08DD0987" w14:textId="751DE012"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color w:val="000000"/>
              </w:rPr>
              <w:t>128</w:t>
            </w:r>
          </w:p>
        </w:tc>
        <w:tc>
          <w:tcPr>
            <w:tcW w:w="2315" w:type="dxa"/>
            <w:noWrap/>
          </w:tcPr>
          <w:p w14:paraId="22C33BEA" w14:textId="4B085884"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color w:val="000000"/>
              </w:rPr>
              <w:t>72.17%</w:t>
            </w:r>
          </w:p>
        </w:tc>
        <w:tc>
          <w:tcPr>
            <w:tcW w:w="1938" w:type="dxa"/>
            <w:noWrap/>
          </w:tcPr>
          <w:p w14:paraId="36DE3881" w14:textId="1A389C5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color w:val="000000"/>
              </w:rPr>
              <w:t>27.83%</w:t>
            </w:r>
          </w:p>
        </w:tc>
      </w:tr>
      <w:tr w:rsidR="0055549D" w:rsidRPr="00C53FC9" w14:paraId="6699AEA8"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35A5E9DD" w14:textId="77777777" w:rsidR="0055549D" w:rsidRPr="00C53FC9" w:rsidRDefault="0055549D" w:rsidP="0055549D">
            <w:pPr>
              <w:rPr>
                <w:rFonts w:ascii="Calibri" w:hAnsi="Calibri" w:cs="Calibri"/>
              </w:rPr>
            </w:pPr>
            <w:r w:rsidRPr="00C53FC9">
              <w:rPr>
                <w:rFonts w:ascii="Calibri" w:hAnsi="Calibri" w:cs="Calibri"/>
              </w:rPr>
              <w:t>Band 3</w:t>
            </w:r>
          </w:p>
        </w:tc>
        <w:tc>
          <w:tcPr>
            <w:tcW w:w="1906" w:type="dxa"/>
            <w:noWrap/>
          </w:tcPr>
          <w:p w14:paraId="39099C13" w14:textId="687C84FE"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13</w:t>
            </w:r>
          </w:p>
        </w:tc>
        <w:tc>
          <w:tcPr>
            <w:tcW w:w="2126" w:type="dxa"/>
            <w:noWrap/>
          </w:tcPr>
          <w:p w14:paraId="40B5681C" w14:textId="7EE2ABF0"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4</w:t>
            </w:r>
          </w:p>
        </w:tc>
        <w:tc>
          <w:tcPr>
            <w:tcW w:w="2315" w:type="dxa"/>
            <w:noWrap/>
          </w:tcPr>
          <w:p w14:paraId="0A67C088" w14:textId="08D28E06"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76.47%</w:t>
            </w:r>
          </w:p>
        </w:tc>
        <w:tc>
          <w:tcPr>
            <w:tcW w:w="1938" w:type="dxa"/>
            <w:noWrap/>
          </w:tcPr>
          <w:p w14:paraId="4951EA63" w14:textId="109F3C8C"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23.53%</w:t>
            </w:r>
          </w:p>
        </w:tc>
      </w:tr>
      <w:tr w:rsidR="0055549D" w:rsidRPr="00C53FC9" w14:paraId="447812A8"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30CE42F1" w14:textId="77777777" w:rsidR="0055549D" w:rsidRPr="00C53FC9" w:rsidRDefault="0055549D" w:rsidP="0055549D">
            <w:pPr>
              <w:rPr>
                <w:rFonts w:ascii="Calibri" w:hAnsi="Calibri" w:cs="Calibri"/>
              </w:rPr>
            </w:pPr>
            <w:r w:rsidRPr="00C53FC9">
              <w:rPr>
                <w:rFonts w:ascii="Calibri" w:hAnsi="Calibri" w:cs="Calibri"/>
              </w:rPr>
              <w:t>Band 4</w:t>
            </w:r>
          </w:p>
        </w:tc>
        <w:tc>
          <w:tcPr>
            <w:tcW w:w="1906" w:type="dxa"/>
            <w:noWrap/>
          </w:tcPr>
          <w:p w14:paraId="73EADE35" w14:textId="4A939102"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33</w:t>
            </w:r>
          </w:p>
        </w:tc>
        <w:tc>
          <w:tcPr>
            <w:tcW w:w="2126" w:type="dxa"/>
            <w:noWrap/>
          </w:tcPr>
          <w:p w14:paraId="145B7C1C" w14:textId="1146558D"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w:t>
            </w:r>
          </w:p>
        </w:tc>
        <w:tc>
          <w:tcPr>
            <w:tcW w:w="2315" w:type="dxa"/>
            <w:noWrap/>
          </w:tcPr>
          <w:p w14:paraId="14B50488" w14:textId="47E27B75"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82.50%</w:t>
            </w:r>
          </w:p>
        </w:tc>
        <w:tc>
          <w:tcPr>
            <w:tcW w:w="1938" w:type="dxa"/>
            <w:noWrap/>
          </w:tcPr>
          <w:p w14:paraId="7F7B9E62" w14:textId="56A724F9"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17.50%</w:t>
            </w:r>
          </w:p>
        </w:tc>
      </w:tr>
      <w:tr w:rsidR="0055549D" w:rsidRPr="00C53FC9" w14:paraId="6E8FC6AC"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4D709704" w14:textId="77777777" w:rsidR="0055549D" w:rsidRPr="00C53FC9" w:rsidRDefault="0055549D" w:rsidP="0055549D">
            <w:pPr>
              <w:rPr>
                <w:rFonts w:ascii="Calibri" w:hAnsi="Calibri" w:cs="Calibri"/>
              </w:rPr>
            </w:pPr>
            <w:r w:rsidRPr="00C53FC9">
              <w:rPr>
                <w:rFonts w:ascii="Calibri" w:hAnsi="Calibri" w:cs="Calibri"/>
              </w:rPr>
              <w:t>Band 5</w:t>
            </w:r>
          </w:p>
        </w:tc>
        <w:tc>
          <w:tcPr>
            <w:tcW w:w="1906" w:type="dxa"/>
            <w:noWrap/>
          </w:tcPr>
          <w:p w14:paraId="735E4213" w14:textId="62D251FC"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41</w:t>
            </w:r>
          </w:p>
        </w:tc>
        <w:tc>
          <w:tcPr>
            <w:tcW w:w="2126" w:type="dxa"/>
            <w:noWrap/>
          </w:tcPr>
          <w:p w14:paraId="0219DA01" w14:textId="4CD7DCD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4</w:t>
            </w:r>
          </w:p>
        </w:tc>
        <w:tc>
          <w:tcPr>
            <w:tcW w:w="2315" w:type="dxa"/>
            <w:noWrap/>
          </w:tcPr>
          <w:p w14:paraId="34CCF8A9" w14:textId="65424CC1"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91.11%</w:t>
            </w:r>
          </w:p>
        </w:tc>
        <w:tc>
          <w:tcPr>
            <w:tcW w:w="1938" w:type="dxa"/>
            <w:noWrap/>
          </w:tcPr>
          <w:p w14:paraId="366C29E3" w14:textId="3B878252"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8.89%</w:t>
            </w:r>
          </w:p>
        </w:tc>
      </w:tr>
      <w:tr w:rsidR="0055549D" w:rsidRPr="00C53FC9" w14:paraId="0F591930"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1CC5B331" w14:textId="77777777" w:rsidR="0055549D" w:rsidRPr="00C53FC9" w:rsidRDefault="0055549D" w:rsidP="0055549D">
            <w:pPr>
              <w:rPr>
                <w:rFonts w:ascii="Calibri" w:hAnsi="Calibri" w:cs="Calibri"/>
              </w:rPr>
            </w:pPr>
            <w:r w:rsidRPr="00C53FC9">
              <w:rPr>
                <w:rFonts w:ascii="Calibri" w:hAnsi="Calibri" w:cs="Calibri"/>
              </w:rPr>
              <w:t>Band 6</w:t>
            </w:r>
          </w:p>
        </w:tc>
        <w:tc>
          <w:tcPr>
            <w:tcW w:w="1906" w:type="dxa"/>
            <w:noWrap/>
          </w:tcPr>
          <w:p w14:paraId="67781845" w14:textId="7886CB9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62</w:t>
            </w:r>
          </w:p>
        </w:tc>
        <w:tc>
          <w:tcPr>
            <w:tcW w:w="2126" w:type="dxa"/>
            <w:noWrap/>
          </w:tcPr>
          <w:p w14:paraId="0547F51F" w14:textId="6FFC268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26</w:t>
            </w:r>
          </w:p>
        </w:tc>
        <w:tc>
          <w:tcPr>
            <w:tcW w:w="2315" w:type="dxa"/>
            <w:noWrap/>
          </w:tcPr>
          <w:p w14:paraId="349368E0" w14:textId="589F6771"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70.45%</w:t>
            </w:r>
          </w:p>
        </w:tc>
        <w:tc>
          <w:tcPr>
            <w:tcW w:w="1938" w:type="dxa"/>
            <w:noWrap/>
          </w:tcPr>
          <w:p w14:paraId="162B1F36" w14:textId="76504A37"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29.55%</w:t>
            </w:r>
          </w:p>
        </w:tc>
      </w:tr>
      <w:tr w:rsidR="0055549D" w:rsidRPr="00C53FC9" w14:paraId="216FFF73"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6827ED40" w14:textId="77777777" w:rsidR="0055549D" w:rsidRPr="00C53FC9" w:rsidRDefault="0055549D" w:rsidP="0055549D">
            <w:pPr>
              <w:rPr>
                <w:rFonts w:ascii="Calibri" w:hAnsi="Calibri" w:cs="Calibri"/>
              </w:rPr>
            </w:pPr>
            <w:r w:rsidRPr="00C53FC9">
              <w:rPr>
                <w:rFonts w:ascii="Calibri" w:hAnsi="Calibri" w:cs="Calibri"/>
              </w:rPr>
              <w:t>Band 7</w:t>
            </w:r>
          </w:p>
        </w:tc>
        <w:tc>
          <w:tcPr>
            <w:tcW w:w="1906" w:type="dxa"/>
            <w:noWrap/>
          </w:tcPr>
          <w:p w14:paraId="5EC58D89" w14:textId="676247D8"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61</w:t>
            </w:r>
          </w:p>
        </w:tc>
        <w:tc>
          <w:tcPr>
            <w:tcW w:w="2126" w:type="dxa"/>
            <w:noWrap/>
          </w:tcPr>
          <w:p w14:paraId="5BD3A014" w14:textId="66BDC499"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29</w:t>
            </w:r>
          </w:p>
        </w:tc>
        <w:tc>
          <w:tcPr>
            <w:tcW w:w="2315" w:type="dxa"/>
            <w:noWrap/>
          </w:tcPr>
          <w:p w14:paraId="60B0FAE7" w14:textId="013C1CF7"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67.78%</w:t>
            </w:r>
          </w:p>
        </w:tc>
        <w:tc>
          <w:tcPr>
            <w:tcW w:w="1938" w:type="dxa"/>
            <w:noWrap/>
          </w:tcPr>
          <w:p w14:paraId="00964F61" w14:textId="7A2FE24E"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32.22%</w:t>
            </w:r>
          </w:p>
        </w:tc>
      </w:tr>
      <w:tr w:rsidR="0055549D" w:rsidRPr="00C53FC9" w14:paraId="72B60CCB"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60A7B5FE" w14:textId="77777777" w:rsidR="0055549D" w:rsidRPr="00C53FC9" w:rsidRDefault="0055549D" w:rsidP="0055549D">
            <w:pPr>
              <w:rPr>
                <w:rFonts w:ascii="Calibri" w:hAnsi="Calibri" w:cs="Calibri"/>
              </w:rPr>
            </w:pPr>
            <w:r w:rsidRPr="00C53FC9">
              <w:rPr>
                <w:rFonts w:ascii="Calibri" w:hAnsi="Calibri" w:cs="Calibri"/>
              </w:rPr>
              <w:t>Band 8a</w:t>
            </w:r>
          </w:p>
        </w:tc>
        <w:tc>
          <w:tcPr>
            <w:tcW w:w="1906" w:type="dxa"/>
            <w:noWrap/>
          </w:tcPr>
          <w:p w14:paraId="1CFDC71A" w14:textId="4BABDE1E"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41</w:t>
            </w:r>
          </w:p>
        </w:tc>
        <w:tc>
          <w:tcPr>
            <w:tcW w:w="2126" w:type="dxa"/>
            <w:noWrap/>
          </w:tcPr>
          <w:p w14:paraId="4ECBE8F1" w14:textId="703E22C6"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21</w:t>
            </w:r>
          </w:p>
        </w:tc>
        <w:tc>
          <w:tcPr>
            <w:tcW w:w="2315" w:type="dxa"/>
            <w:noWrap/>
          </w:tcPr>
          <w:p w14:paraId="7FB43DBD" w14:textId="1A09BB7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66.13%</w:t>
            </w:r>
          </w:p>
        </w:tc>
        <w:tc>
          <w:tcPr>
            <w:tcW w:w="1938" w:type="dxa"/>
            <w:noWrap/>
          </w:tcPr>
          <w:p w14:paraId="40B173D8" w14:textId="026A275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33.87%</w:t>
            </w:r>
          </w:p>
        </w:tc>
      </w:tr>
      <w:tr w:rsidR="0055549D" w:rsidRPr="00C53FC9" w14:paraId="6EECF180"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4D15B418" w14:textId="77777777" w:rsidR="0055549D" w:rsidRPr="00C53FC9" w:rsidRDefault="0055549D" w:rsidP="0055549D">
            <w:pPr>
              <w:rPr>
                <w:rFonts w:ascii="Calibri" w:hAnsi="Calibri" w:cs="Calibri"/>
              </w:rPr>
            </w:pPr>
            <w:r w:rsidRPr="00C53FC9">
              <w:rPr>
                <w:rFonts w:ascii="Calibri" w:hAnsi="Calibri" w:cs="Calibri"/>
              </w:rPr>
              <w:t>Band 8b</w:t>
            </w:r>
          </w:p>
        </w:tc>
        <w:tc>
          <w:tcPr>
            <w:tcW w:w="1906" w:type="dxa"/>
            <w:noWrap/>
          </w:tcPr>
          <w:p w14:paraId="54AAC95F" w14:textId="28E9A6F8"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33</w:t>
            </w:r>
          </w:p>
        </w:tc>
        <w:tc>
          <w:tcPr>
            <w:tcW w:w="2126" w:type="dxa"/>
            <w:noWrap/>
          </w:tcPr>
          <w:p w14:paraId="36FC1462" w14:textId="61B530A9"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14</w:t>
            </w:r>
          </w:p>
        </w:tc>
        <w:tc>
          <w:tcPr>
            <w:tcW w:w="2315" w:type="dxa"/>
            <w:noWrap/>
          </w:tcPr>
          <w:p w14:paraId="7FA6C964" w14:textId="3D73FD49"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70.21%</w:t>
            </w:r>
          </w:p>
        </w:tc>
        <w:tc>
          <w:tcPr>
            <w:tcW w:w="1938" w:type="dxa"/>
            <w:noWrap/>
          </w:tcPr>
          <w:p w14:paraId="3C8900B5" w14:textId="25C8BAB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29.79%</w:t>
            </w:r>
          </w:p>
        </w:tc>
      </w:tr>
      <w:tr w:rsidR="0055549D" w:rsidRPr="00C53FC9" w14:paraId="783B8625"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12F99BDC" w14:textId="77777777" w:rsidR="0055549D" w:rsidRPr="00C53FC9" w:rsidRDefault="0055549D" w:rsidP="0055549D">
            <w:pPr>
              <w:rPr>
                <w:rFonts w:ascii="Calibri" w:hAnsi="Calibri" w:cs="Calibri"/>
              </w:rPr>
            </w:pPr>
            <w:r w:rsidRPr="00C53FC9">
              <w:rPr>
                <w:rFonts w:ascii="Calibri" w:hAnsi="Calibri" w:cs="Calibri"/>
              </w:rPr>
              <w:t>Band 8c</w:t>
            </w:r>
          </w:p>
        </w:tc>
        <w:tc>
          <w:tcPr>
            <w:tcW w:w="1906" w:type="dxa"/>
            <w:noWrap/>
          </w:tcPr>
          <w:p w14:paraId="0CDD112E" w14:textId="6E12BB71"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22</w:t>
            </w:r>
          </w:p>
        </w:tc>
        <w:tc>
          <w:tcPr>
            <w:tcW w:w="2126" w:type="dxa"/>
            <w:noWrap/>
          </w:tcPr>
          <w:p w14:paraId="17E8C56A" w14:textId="291AD90E"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w:t>
            </w:r>
          </w:p>
        </w:tc>
        <w:tc>
          <w:tcPr>
            <w:tcW w:w="2315" w:type="dxa"/>
            <w:noWrap/>
          </w:tcPr>
          <w:p w14:paraId="57EA33B8" w14:textId="20AF6C6D"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75.86%</w:t>
            </w:r>
          </w:p>
        </w:tc>
        <w:tc>
          <w:tcPr>
            <w:tcW w:w="1938" w:type="dxa"/>
            <w:noWrap/>
          </w:tcPr>
          <w:p w14:paraId="4ECF0D3C" w14:textId="04DF4DB2"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24.14%</w:t>
            </w:r>
          </w:p>
        </w:tc>
      </w:tr>
      <w:tr w:rsidR="0055549D" w:rsidRPr="00C53FC9" w14:paraId="1777FD7E"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1E9620FF" w14:textId="77777777" w:rsidR="0055549D" w:rsidRPr="00C53FC9" w:rsidRDefault="0055549D" w:rsidP="0055549D">
            <w:pPr>
              <w:rPr>
                <w:rFonts w:ascii="Calibri" w:hAnsi="Calibri" w:cs="Calibri"/>
              </w:rPr>
            </w:pPr>
            <w:r w:rsidRPr="00C53FC9">
              <w:rPr>
                <w:rFonts w:ascii="Calibri" w:hAnsi="Calibri" w:cs="Calibri"/>
              </w:rPr>
              <w:t>Band 8d</w:t>
            </w:r>
          </w:p>
        </w:tc>
        <w:tc>
          <w:tcPr>
            <w:tcW w:w="1906" w:type="dxa"/>
            <w:noWrap/>
          </w:tcPr>
          <w:p w14:paraId="007C8B51" w14:textId="25C84CCC"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12</w:t>
            </w:r>
          </w:p>
        </w:tc>
        <w:tc>
          <w:tcPr>
            <w:tcW w:w="2126" w:type="dxa"/>
            <w:noWrap/>
          </w:tcPr>
          <w:p w14:paraId="44F94A23" w14:textId="2A192860"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w:t>
            </w:r>
          </w:p>
        </w:tc>
        <w:tc>
          <w:tcPr>
            <w:tcW w:w="2315" w:type="dxa"/>
            <w:noWrap/>
          </w:tcPr>
          <w:p w14:paraId="2A9E04E6" w14:textId="05B44CB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66.67%</w:t>
            </w:r>
          </w:p>
        </w:tc>
        <w:tc>
          <w:tcPr>
            <w:tcW w:w="1938" w:type="dxa"/>
            <w:noWrap/>
          </w:tcPr>
          <w:p w14:paraId="0B2EA4E1" w14:textId="70EF6137"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33.33%</w:t>
            </w:r>
          </w:p>
        </w:tc>
      </w:tr>
      <w:tr w:rsidR="0055549D" w:rsidRPr="00C53FC9" w14:paraId="477C6B5C"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714495A0" w14:textId="77777777" w:rsidR="0055549D" w:rsidRPr="00C53FC9" w:rsidRDefault="0055549D" w:rsidP="0055549D">
            <w:pPr>
              <w:rPr>
                <w:rFonts w:ascii="Calibri" w:hAnsi="Calibri" w:cs="Calibri"/>
              </w:rPr>
            </w:pPr>
            <w:r w:rsidRPr="00C53FC9">
              <w:rPr>
                <w:rFonts w:ascii="Calibri" w:hAnsi="Calibri" w:cs="Calibri"/>
              </w:rPr>
              <w:t>Band 9</w:t>
            </w:r>
          </w:p>
        </w:tc>
        <w:tc>
          <w:tcPr>
            <w:tcW w:w="1906" w:type="dxa"/>
            <w:noWrap/>
          </w:tcPr>
          <w:p w14:paraId="6F2D0692" w14:textId="7277C91D"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9</w:t>
            </w:r>
          </w:p>
        </w:tc>
        <w:tc>
          <w:tcPr>
            <w:tcW w:w="2126" w:type="dxa"/>
            <w:noWrap/>
          </w:tcPr>
          <w:p w14:paraId="2D61FB29" w14:textId="47E9E500"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w:t>
            </w:r>
          </w:p>
        </w:tc>
        <w:tc>
          <w:tcPr>
            <w:tcW w:w="2315" w:type="dxa"/>
            <w:noWrap/>
          </w:tcPr>
          <w:p w14:paraId="22ED31EE" w14:textId="2A71744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64.29%</w:t>
            </w:r>
          </w:p>
        </w:tc>
        <w:tc>
          <w:tcPr>
            <w:tcW w:w="1938" w:type="dxa"/>
            <w:noWrap/>
          </w:tcPr>
          <w:p w14:paraId="00A14FBB" w14:textId="5D8717B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35.71%</w:t>
            </w:r>
          </w:p>
        </w:tc>
      </w:tr>
      <w:tr w:rsidR="0055549D" w:rsidRPr="00C53FC9" w14:paraId="789A23CA"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0B2F8BA2" w14:textId="75E1F9F7" w:rsidR="0055549D" w:rsidRPr="00C53FC9" w:rsidRDefault="0055549D" w:rsidP="0055549D">
            <w:pPr>
              <w:rPr>
                <w:rFonts w:ascii="Calibri" w:hAnsi="Calibri" w:cs="Calibri"/>
              </w:rPr>
            </w:pPr>
            <w:r w:rsidRPr="00C53FC9">
              <w:rPr>
                <w:rFonts w:ascii="Calibri" w:hAnsi="Calibri" w:cs="Calibri"/>
              </w:rPr>
              <w:t>Consultant</w:t>
            </w:r>
          </w:p>
        </w:tc>
        <w:tc>
          <w:tcPr>
            <w:tcW w:w="1906" w:type="dxa"/>
            <w:noWrap/>
          </w:tcPr>
          <w:p w14:paraId="3A0C7150" w14:textId="54BE430E"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126" w:type="dxa"/>
            <w:noWrap/>
          </w:tcPr>
          <w:p w14:paraId="0A63CB07" w14:textId="2746C50B"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31709187" w14:textId="22A5C9B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0.00%</w:t>
            </w:r>
          </w:p>
        </w:tc>
        <w:tc>
          <w:tcPr>
            <w:tcW w:w="1938" w:type="dxa"/>
            <w:noWrap/>
          </w:tcPr>
          <w:p w14:paraId="468BB48B" w14:textId="4D37F2C1"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3EAFAA26"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4C5C00C8" w14:textId="77777777" w:rsidR="0055549D" w:rsidRPr="00C53FC9" w:rsidRDefault="0055549D" w:rsidP="0055549D">
            <w:pPr>
              <w:rPr>
                <w:rFonts w:ascii="Calibri" w:hAnsi="Calibri" w:cs="Calibri"/>
              </w:rPr>
            </w:pPr>
            <w:r w:rsidRPr="00C53FC9">
              <w:rPr>
                <w:rFonts w:ascii="Calibri" w:hAnsi="Calibri" w:cs="Calibri"/>
              </w:rPr>
              <w:t>VSM</w:t>
            </w:r>
          </w:p>
        </w:tc>
        <w:tc>
          <w:tcPr>
            <w:tcW w:w="1906" w:type="dxa"/>
            <w:noWrap/>
          </w:tcPr>
          <w:p w14:paraId="0096D100" w14:textId="26F6774C"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w:t>
            </w:r>
          </w:p>
        </w:tc>
        <w:tc>
          <w:tcPr>
            <w:tcW w:w="2126" w:type="dxa"/>
            <w:noWrap/>
          </w:tcPr>
          <w:p w14:paraId="34DCA665" w14:textId="5DCF59B2"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w:t>
            </w:r>
          </w:p>
        </w:tc>
        <w:tc>
          <w:tcPr>
            <w:tcW w:w="2315" w:type="dxa"/>
            <w:noWrap/>
          </w:tcPr>
          <w:p w14:paraId="0FE84FC8" w14:textId="7668B352"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50.00%</w:t>
            </w:r>
          </w:p>
        </w:tc>
        <w:tc>
          <w:tcPr>
            <w:tcW w:w="1938" w:type="dxa"/>
            <w:noWrap/>
          </w:tcPr>
          <w:p w14:paraId="5E495786" w14:textId="29B44F7F"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50.00%</w:t>
            </w:r>
          </w:p>
        </w:tc>
      </w:tr>
      <w:tr w:rsidR="0055549D" w:rsidRPr="00C53FC9" w14:paraId="505F450C"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shd w:val="clear" w:color="auto" w:fill="ADADAD" w:themeFill="background2" w:themeFillShade="BF"/>
            <w:noWrap/>
            <w:hideMark/>
          </w:tcPr>
          <w:p w14:paraId="741F5CB4" w14:textId="74CCCC20" w:rsidR="0055549D" w:rsidRPr="00C53FC9" w:rsidRDefault="0055549D" w:rsidP="0055549D">
            <w:pPr>
              <w:rPr>
                <w:rFonts w:ascii="Calibri" w:hAnsi="Calibri" w:cs="Calibri"/>
                <w:color w:val="auto"/>
              </w:rPr>
            </w:pPr>
            <w:r w:rsidRPr="008627B9">
              <w:rPr>
                <w:rFonts w:ascii="Calibri" w:hAnsi="Calibri" w:cs="Calibri"/>
                <w:color w:val="000000" w:themeColor="text1"/>
              </w:rPr>
              <w:t>Part Time</w:t>
            </w:r>
          </w:p>
        </w:tc>
        <w:tc>
          <w:tcPr>
            <w:tcW w:w="1906" w:type="dxa"/>
            <w:noWrap/>
            <w:hideMark/>
          </w:tcPr>
          <w:p w14:paraId="72344A9E" w14:textId="2CA5BAE1"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color w:val="000000"/>
              </w:rPr>
              <w:t>141</w:t>
            </w:r>
          </w:p>
        </w:tc>
        <w:tc>
          <w:tcPr>
            <w:tcW w:w="2126" w:type="dxa"/>
            <w:noWrap/>
            <w:hideMark/>
          </w:tcPr>
          <w:p w14:paraId="5B1F7886" w14:textId="0DF170E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color w:val="000000"/>
              </w:rPr>
              <w:t>21</w:t>
            </w:r>
          </w:p>
        </w:tc>
        <w:tc>
          <w:tcPr>
            <w:tcW w:w="2315" w:type="dxa"/>
            <w:noWrap/>
          </w:tcPr>
          <w:p w14:paraId="615F8086" w14:textId="055A749C"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color w:val="000000"/>
              </w:rPr>
              <w:t>87.04%</w:t>
            </w:r>
          </w:p>
        </w:tc>
        <w:tc>
          <w:tcPr>
            <w:tcW w:w="1938" w:type="dxa"/>
            <w:noWrap/>
          </w:tcPr>
          <w:p w14:paraId="27D27856" w14:textId="7A38445C" w:rsidR="0055549D" w:rsidRPr="00C53FC9" w:rsidRDefault="0055549D" w:rsidP="0055549D">
            <w:pPr>
              <w:tabs>
                <w:tab w:val="center" w:pos="803"/>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53FC9">
              <w:rPr>
                <w:rFonts w:ascii="Calibri" w:hAnsi="Calibri" w:cs="Calibri"/>
                <w:b/>
                <w:bCs/>
                <w:color w:val="000000"/>
              </w:rPr>
              <w:t>12.96%</w:t>
            </w:r>
          </w:p>
        </w:tc>
      </w:tr>
      <w:tr w:rsidR="0055549D" w:rsidRPr="00C53FC9" w14:paraId="5CA3B472"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0C09ECF5" w14:textId="77777777" w:rsidR="0055549D" w:rsidRPr="00C53FC9" w:rsidRDefault="0055549D" w:rsidP="0055549D">
            <w:pPr>
              <w:rPr>
                <w:rFonts w:ascii="Calibri" w:hAnsi="Calibri" w:cs="Calibri"/>
              </w:rPr>
            </w:pPr>
            <w:r w:rsidRPr="00C53FC9">
              <w:rPr>
                <w:rFonts w:ascii="Calibri" w:hAnsi="Calibri" w:cs="Calibri"/>
              </w:rPr>
              <w:t>Band 3</w:t>
            </w:r>
          </w:p>
        </w:tc>
        <w:tc>
          <w:tcPr>
            <w:tcW w:w="1906" w:type="dxa"/>
            <w:noWrap/>
          </w:tcPr>
          <w:p w14:paraId="73D428CD" w14:textId="3B38B195"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10</w:t>
            </w:r>
          </w:p>
        </w:tc>
        <w:tc>
          <w:tcPr>
            <w:tcW w:w="2126" w:type="dxa"/>
            <w:noWrap/>
          </w:tcPr>
          <w:p w14:paraId="2D2E2A59" w14:textId="18532AB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5F1B6522" w14:textId="5BA36665"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100.00%</w:t>
            </w:r>
          </w:p>
        </w:tc>
        <w:tc>
          <w:tcPr>
            <w:tcW w:w="1938" w:type="dxa"/>
            <w:noWrap/>
          </w:tcPr>
          <w:p w14:paraId="3903AA29" w14:textId="269C1CF7"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5CCA816C"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0F4E532E" w14:textId="77777777" w:rsidR="0055549D" w:rsidRPr="00C53FC9" w:rsidRDefault="0055549D" w:rsidP="0055549D">
            <w:pPr>
              <w:rPr>
                <w:rFonts w:ascii="Calibri" w:hAnsi="Calibri" w:cs="Calibri"/>
              </w:rPr>
            </w:pPr>
            <w:r w:rsidRPr="00C53FC9">
              <w:rPr>
                <w:rFonts w:ascii="Calibri" w:hAnsi="Calibri" w:cs="Calibri"/>
              </w:rPr>
              <w:t>Band 4</w:t>
            </w:r>
          </w:p>
        </w:tc>
        <w:tc>
          <w:tcPr>
            <w:tcW w:w="1906" w:type="dxa"/>
            <w:noWrap/>
          </w:tcPr>
          <w:p w14:paraId="4AD9D66A" w14:textId="4C68F58D"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12</w:t>
            </w:r>
          </w:p>
        </w:tc>
        <w:tc>
          <w:tcPr>
            <w:tcW w:w="2126" w:type="dxa"/>
            <w:noWrap/>
          </w:tcPr>
          <w:p w14:paraId="22037E05" w14:textId="471B2D2F"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7B0653AA" w14:textId="4E0FF543"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100.00%</w:t>
            </w:r>
          </w:p>
        </w:tc>
        <w:tc>
          <w:tcPr>
            <w:tcW w:w="1938" w:type="dxa"/>
            <w:noWrap/>
          </w:tcPr>
          <w:p w14:paraId="3CC49665" w14:textId="5540FAC2"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03448DBE"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5FD3F92E" w14:textId="77777777" w:rsidR="0055549D" w:rsidRPr="00C53FC9" w:rsidRDefault="0055549D" w:rsidP="0055549D">
            <w:pPr>
              <w:rPr>
                <w:rFonts w:ascii="Calibri" w:hAnsi="Calibri" w:cs="Calibri"/>
              </w:rPr>
            </w:pPr>
            <w:r w:rsidRPr="00C53FC9">
              <w:rPr>
                <w:rFonts w:ascii="Calibri" w:hAnsi="Calibri" w:cs="Calibri"/>
              </w:rPr>
              <w:t>Band 5</w:t>
            </w:r>
          </w:p>
        </w:tc>
        <w:tc>
          <w:tcPr>
            <w:tcW w:w="1906" w:type="dxa"/>
            <w:noWrap/>
          </w:tcPr>
          <w:p w14:paraId="620B3798" w14:textId="5D160893"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18</w:t>
            </w:r>
          </w:p>
        </w:tc>
        <w:tc>
          <w:tcPr>
            <w:tcW w:w="2126" w:type="dxa"/>
            <w:noWrap/>
          </w:tcPr>
          <w:p w14:paraId="6360B2E9" w14:textId="78BD85C6"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0FBC75AE" w14:textId="38E0C223"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100.00%</w:t>
            </w:r>
          </w:p>
        </w:tc>
        <w:tc>
          <w:tcPr>
            <w:tcW w:w="1938" w:type="dxa"/>
            <w:noWrap/>
          </w:tcPr>
          <w:p w14:paraId="4BFB504E" w14:textId="21849481"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4381A524"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77FE577C" w14:textId="77777777" w:rsidR="0055549D" w:rsidRPr="00C53FC9" w:rsidRDefault="0055549D" w:rsidP="0055549D">
            <w:pPr>
              <w:rPr>
                <w:rFonts w:ascii="Calibri" w:hAnsi="Calibri" w:cs="Calibri"/>
              </w:rPr>
            </w:pPr>
            <w:r w:rsidRPr="00C53FC9">
              <w:rPr>
                <w:rFonts w:ascii="Calibri" w:hAnsi="Calibri" w:cs="Calibri"/>
              </w:rPr>
              <w:t>Band 6</w:t>
            </w:r>
          </w:p>
        </w:tc>
        <w:tc>
          <w:tcPr>
            <w:tcW w:w="1906" w:type="dxa"/>
            <w:noWrap/>
          </w:tcPr>
          <w:p w14:paraId="736F295B" w14:textId="435504DF"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26</w:t>
            </w:r>
          </w:p>
        </w:tc>
        <w:tc>
          <w:tcPr>
            <w:tcW w:w="2126" w:type="dxa"/>
            <w:noWrap/>
          </w:tcPr>
          <w:p w14:paraId="0A927BD4" w14:textId="78D09D7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w:t>
            </w:r>
          </w:p>
        </w:tc>
        <w:tc>
          <w:tcPr>
            <w:tcW w:w="2315" w:type="dxa"/>
            <w:noWrap/>
          </w:tcPr>
          <w:p w14:paraId="30A5198E" w14:textId="7641DFE4"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96.30%</w:t>
            </w:r>
          </w:p>
        </w:tc>
        <w:tc>
          <w:tcPr>
            <w:tcW w:w="1938" w:type="dxa"/>
            <w:noWrap/>
          </w:tcPr>
          <w:p w14:paraId="48D23680" w14:textId="58373586"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3.70%</w:t>
            </w:r>
          </w:p>
        </w:tc>
      </w:tr>
      <w:tr w:rsidR="0055549D" w:rsidRPr="00C53FC9" w14:paraId="2889F446"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5FA92B58" w14:textId="77777777" w:rsidR="0055549D" w:rsidRPr="00C53FC9" w:rsidRDefault="0055549D" w:rsidP="0055549D">
            <w:pPr>
              <w:rPr>
                <w:rFonts w:ascii="Calibri" w:hAnsi="Calibri" w:cs="Calibri"/>
              </w:rPr>
            </w:pPr>
            <w:r w:rsidRPr="00C53FC9">
              <w:rPr>
                <w:rFonts w:ascii="Calibri" w:hAnsi="Calibri" w:cs="Calibri"/>
              </w:rPr>
              <w:t>Band 7</w:t>
            </w:r>
          </w:p>
        </w:tc>
        <w:tc>
          <w:tcPr>
            <w:tcW w:w="1906" w:type="dxa"/>
            <w:noWrap/>
          </w:tcPr>
          <w:p w14:paraId="77F0C3EE" w14:textId="7D85DCB5"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18</w:t>
            </w:r>
          </w:p>
        </w:tc>
        <w:tc>
          <w:tcPr>
            <w:tcW w:w="2126" w:type="dxa"/>
            <w:noWrap/>
          </w:tcPr>
          <w:p w14:paraId="6A99700E" w14:textId="6F58309D"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w:t>
            </w:r>
          </w:p>
        </w:tc>
        <w:tc>
          <w:tcPr>
            <w:tcW w:w="2315" w:type="dxa"/>
            <w:noWrap/>
          </w:tcPr>
          <w:p w14:paraId="1B6CA6D3" w14:textId="590D2DB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94.74%</w:t>
            </w:r>
          </w:p>
        </w:tc>
        <w:tc>
          <w:tcPr>
            <w:tcW w:w="1938" w:type="dxa"/>
            <w:noWrap/>
          </w:tcPr>
          <w:p w14:paraId="3248A90C" w14:textId="699FD617"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5.26%</w:t>
            </w:r>
          </w:p>
        </w:tc>
      </w:tr>
      <w:tr w:rsidR="0055549D" w:rsidRPr="00C53FC9" w14:paraId="2118E0F7"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4F6CDCC6" w14:textId="77777777" w:rsidR="0055549D" w:rsidRPr="00C53FC9" w:rsidRDefault="0055549D" w:rsidP="0055549D">
            <w:pPr>
              <w:rPr>
                <w:rFonts w:ascii="Calibri" w:hAnsi="Calibri" w:cs="Calibri"/>
              </w:rPr>
            </w:pPr>
            <w:r w:rsidRPr="00C53FC9">
              <w:rPr>
                <w:rFonts w:ascii="Calibri" w:hAnsi="Calibri" w:cs="Calibri"/>
              </w:rPr>
              <w:t>Band 8a</w:t>
            </w:r>
          </w:p>
        </w:tc>
        <w:tc>
          <w:tcPr>
            <w:tcW w:w="1906" w:type="dxa"/>
            <w:noWrap/>
          </w:tcPr>
          <w:p w14:paraId="1E5E6C60" w14:textId="3BBC495A"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29</w:t>
            </w:r>
          </w:p>
        </w:tc>
        <w:tc>
          <w:tcPr>
            <w:tcW w:w="2126" w:type="dxa"/>
            <w:noWrap/>
          </w:tcPr>
          <w:p w14:paraId="27706D8D" w14:textId="3C450789"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w:t>
            </w:r>
          </w:p>
        </w:tc>
        <w:tc>
          <w:tcPr>
            <w:tcW w:w="2315" w:type="dxa"/>
            <w:noWrap/>
          </w:tcPr>
          <w:p w14:paraId="1F27896D" w14:textId="33E51FED"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93.55%</w:t>
            </w:r>
          </w:p>
        </w:tc>
        <w:tc>
          <w:tcPr>
            <w:tcW w:w="1938" w:type="dxa"/>
            <w:noWrap/>
          </w:tcPr>
          <w:p w14:paraId="4ACFCDD9" w14:textId="78068C54"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6.45%</w:t>
            </w:r>
          </w:p>
        </w:tc>
      </w:tr>
      <w:tr w:rsidR="0055549D" w:rsidRPr="00C53FC9" w14:paraId="50E4EB32"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527B231E" w14:textId="77777777" w:rsidR="0055549D" w:rsidRPr="00C53FC9" w:rsidRDefault="0055549D" w:rsidP="0055549D">
            <w:pPr>
              <w:rPr>
                <w:rFonts w:ascii="Calibri" w:hAnsi="Calibri" w:cs="Calibri"/>
              </w:rPr>
            </w:pPr>
            <w:r w:rsidRPr="00C53FC9">
              <w:rPr>
                <w:rFonts w:ascii="Calibri" w:hAnsi="Calibri" w:cs="Calibri"/>
              </w:rPr>
              <w:t>Band 8b</w:t>
            </w:r>
          </w:p>
        </w:tc>
        <w:tc>
          <w:tcPr>
            <w:tcW w:w="1906" w:type="dxa"/>
            <w:noWrap/>
          </w:tcPr>
          <w:p w14:paraId="58FF295D" w14:textId="6D63BEB1"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11</w:t>
            </w:r>
          </w:p>
        </w:tc>
        <w:tc>
          <w:tcPr>
            <w:tcW w:w="2126" w:type="dxa"/>
            <w:noWrap/>
          </w:tcPr>
          <w:p w14:paraId="4FE2AB1A" w14:textId="1EE7A355"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4</w:t>
            </w:r>
          </w:p>
        </w:tc>
        <w:tc>
          <w:tcPr>
            <w:tcW w:w="2315" w:type="dxa"/>
            <w:noWrap/>
          </w:tcPr>
          <w:p w14:paraId="45CAE7E0" w14:textId="2E426C6D"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73.33%</w:t>
            </w:r>
          </w:p>
        </w:tc>
        <w:tc>
          <w:tcPr>
            <w:tcW w:w="1938" w:type="dxa"/>
            <w:noWrap/>
          </w:tcPr>
          <w:p w14:paraId="142E57A4" w14:textId="45465974"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26.67%</w:t>
            </w:r>
          </w:p>
        </w:tc>
      </w:tr>
      <w:tr w:rsidR="0055549D" w:rsidRPr="00C53FC9" w14:paraId="4E4E5EA9"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791FB4FA" w14:textId="77777777" w:rsidR="0055549D" w:rsidRPr="00C53FC9" w:rsidRDefault="0055549D" w:rsidP="0055549D">
            <w:pPr>
              <w:rPr>
                <w:rFonts w:ascii="Calibri" w:hAnsi="Calibri" w:cs="Calibri"/>
              </w:rPr>
            </w:pPr>
            <w:r w:rsidRPr="00C53FC9">
              <w:rPr>
                <w:rFonts w:ascii="Calibri" w:hAnsi="Calibri" w:cs="Calibri"/>
              </w:rPr>
              <w:t>Band 8c</w:t>
            </w:r>
          </w:p>
        </w:tc>
        <w:tc>
          <w:tcPr>
            <w:tcW w:w="1906" w:type="dxa"/>
            <w:noWrap/>
          </w:tcPr>
          <w:p w14:paraId="506ED687" w14:textId="234A04E4"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w:t>
            </w:r>
          </w:p>
        </w:tc>
        <w:tc>
          <w:tcPr>
            <w:tcW w:w="2126" w:type="dxa"/>
            <w:noWrap/>
          </w:tcPr>
          <w:p w14:paraId="4728CEB0" w14:textId="46C824A3"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038E0105" w14:textId="36E29866"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100.00%</w:t>
            </w:r>
          </w:p>
        </w:tc>
        <w:tc>
          <w:tcPr>
            <w:tcW w:w="1938" w:type="dxa"/>
            <w:noWrap/>
          </w:tcPr>
          <w:p w14:paraId="79C9D070" w14:textId="2DFD520E"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5D64C267"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2F924A8B" w14:textId="77777777" w:rsidR="0055549D" w:rsidRPr="00C53FC9" w:rsidRDefault="0055549D" w:rsidP="0055549D">
            <w:pPr>
              <w:rPr>
                <w:rFonts w:ascii="Calibri" w:hAnsi="Calibri" w:cs="Calibri"/>
              </w:rPr>
            </w:pPr>
            <w:r w:rsidRPr="00C53FC9">
              <w:rPr>
                <w:rFonts w:ascii="Calibri" w:hAnsi="Calibri" w:cs="Calibri"/>
              </w:rPr>
              <w:t>Band 8d</w:t>
            </w:r>
          </w:p>
        </w:tc>
        <w:tc>
          <w:tcPr>
            <w:tcW w:w="1906" w:type="dxa"/>
            <w:noWrap/>
          </w:tcPr>
          <w:p w14:paraId="1A428579" w14:textId="3115A2AF"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4</w:t>
            </w:r>
          </w:p>
        </w:tc>
        <w:tc>
          <w:tcPr>
            <w:tcW w:w="2126" w:type="dxa"/>
            <w:noWrap/>
          </w:tcPr>
          <w:p w14:paraId="050737AC" w14:textId="224454E3"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3</w:t>
            </w:r>
          </w:p>
        </w:tc>
        <w:tc>
          <w:tcPr>
            <w:tcW w:w="2315" w:type="dxa"/>
            <w:noWrap/>
          </w:tcPr>
          <w:p w14:paraId="00EF6441" w14:textId="6A41A41F"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57.14%</w:t>
            </w:r>
          </w:p>
        </w:tc>
        <w:tc>
          <w:tcPr>
            <w:tcW w:w="1938" w:type="dxa"/>
            <w:noWrap/>
          </w:tcPr>
          <w:p w14:paraId="7AE5CFE0" w14:textId="73422C93"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42.86%</w:t>
            </w:r>
          </w:p>
        </w:tc>
      </w:tr>
      <w:tr w:rsidR="0055549D" w:rsidRPr="00C53FC9" w14:paraId="5E099637"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7D82E2B9" w14:textId="77777777" w:rsidR="0055549D" w:rsidRPr="00C53FC9" w:rsidRDefault="0055549D" w:rsidP="0055549D">
            <w:pPr>
              <w:rPr>
                <w:rFonts w:ascii="Calibri" w:hAnsi="Calibri" w:cs="Calibri"/>
              </w:rPr>
            </w:pPr>
            <w:r w:rsidRPr="00C53FC9">
              <w:rPr>
                <w:rFonts w:ascii="Calibri" w:hAnsi="Calibri" w:cs="Calibri"/>
              </w:rPr>
              <w:t>Band 9</w:t>
            </w:r>
          </w:p>
        </w:tc>
        <w:tc>
          <w:tcPr>
            <w:tcW w:w="1906" w:type="dxa"/>
            <w:noWrap/>
          </w:tcPr>
          <w:p w14:paraId="2140D655" w14:textId="6FCC806B"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2</w:t>
            </w:r>
          </w:p>
        </w:tc>
        <w:tc>
          <w:tcPr>
            <w:tcW w:w="2126" w:type="dxa"/>
            <w:noWrap/>
          </w:tcPr>
          <w:p w14:paraId="4F6B4FEC" w14:textId="04F15BDD"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w:t>
            </w:r>
          </w:p>
        </w:tc>
        <w:tc>
          <w:tcPr>
            <w:tcW w:w="2315" w:type="dxa"/>
            <w:noWrap/>
          </w:tcPr>
          <w:p w14:paraId="62E5F0CA" w14:textId="4CB4F225"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100.00%</w:t>
            </w:r>
          </w:p>
        </w:tc>
        <w:tc>
          <w:tcPr>
            <w:tcW w:w="1938" w:type="dxa"/>
            <w:noWrap/>
          </w:tcPr>
          <w:p w14:paraId="2A537057" w14:textId="54BA6143"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0.00%</w:t>
            </w:r>
          </w:p>
        </w:tc>
      </w:tr>
      <w:tr w:rsidR="0055549D" w:rsidRPr="00C53FC9" w14:paraId="5EC8DF98"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30D4A94D" w14:textId="130DFDB4" w:rsidR="0055549D" w:rsidRPr="00C53FC9" w:rsidRDefault="0055549D" w:rsidP="0055549D">
            <w:pPr>
              <w:rPr>
                <w:rFonts w:ascii="Calibri" w:hAnsi="Calibri" w:cs="Calibri"/>
              </w:rPr>
            </w:pPr>
            <w:r w:rsidRPr="00C53FC9">
              <w:rPr>
                <w:rFonts w:ascii="Calibri" w:hAnsi="Calibri" w:cs="Calibri"/>
              </w:rPr>
              <w:t>Consultant</w:t>
            </w:r>
          </w:p>
        </w:tc>
        <w:tc>
          <w:tcPr>
            <w:tcW w:w="1906" w:type="dxa"/>
            <w:noWrap/>
          </w:tcPr>
          <w:p w14:paraId="696FC955" w14:textId="18AA6638"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 0</w:t>
            </w:r>
          </w:p>
        </w:tc>
        <w:tc>
          <w:tcPr>
            <w:tcW w:w="2126" w:type="dxa"/>
            <w:noWrap/>
          </w:tcPr>
          <w:p w14:paraId="008BC455" w14:textId="7CD6FB7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2</w:t>
            </w:r>
          </w:p>
        </w:tc>
        <w:tc>
          <w:tcPr>
            <w:tcW w:w="2315" w:type="dxa"/>
            <w:noWrap/>
          </w:tcPr>
          <w:p w14:paraId="0CF7AD6D" w14:textId="0D322FCB"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0.00%</w:t>
            </w:r>
          </w:p>
        </w:tc>
        <w:tc>
          <w:tcPr>
            <w:tcW w:w="1938" w:type="dxa"/>
            <w:noWrap/>
          </w:tcPr>
          <w:p w14:paraId="14C4D916" w14:textId="59603A2A"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53FC9">
              <w:rPr>
                <w:rFonts w:ascii="Calibri" w:hAnsi="Calibri" w:cs="Calibri"/>
                <w:color w:val="000000"/>
              </w:rPr>
              <w:t>100.00%</w:t>
            </w:r>
          </w:p>
        </w:tc>
      </w:tr>
      <w:tr w:rsidR="0055549D" w:rsidRPr="00C53FC9" w14:paraId="05432A97" w14:textId="77777777" w:rsidTr="00061695">
        <w:trPr>
          <w:trHeight w:val="253"/>
        </w:trPr>
        <w:tc>
          <w:tcPr>
            <w:cnfStyle w:val="001000000000" w:firstRow="0" w:lastRow="0" w:firstColumn="1" w:lastColumn="0" w:oddVBand="0" w:evenVBand="0" w:oddHBand="0" w:evenHBand="0" w:firstRowFirstColumn="0" w:firstRowLastColumn="0" w:lastRowFirstColumn="0" w:lastRowLastColumn="0"/>
            <w:tcW w:w="1208" w:type="dxa"/>
            <w:noWrap/>
            <w:hideMark/>
          </w:tcPr>
          <w:p w14:paraId="5B36AE0F" w14:textId="77777777" w:rsidR="0055549D" w:rsidRPr="00C53FC9" w:rsidRDefault="0055549D" w:rsidP="0055549D">
            <w:pPr>
              <w:rPr>
                <w:rFonts w:ascii="Calibri" w:hAnsi="Calibri" w:cs="Calibri"/>
              </w:rPr>
            </w:pPr>
            <w:r w:rsidRPr="00C53FC9">
              <w:rPr>
                <w:rFonts w:ascii="Calibri" w:hAnsi="Calibri" w:cs="Calibri"/>
              </w:rPr>
              <w:t>VSM</w:t>
            </w:r>
          </w:p>
        </w:tc>
        <w:tc>
          <w:tcPr>
            <w:tcW w:w="1906" w:type="dxa"/>
            <w:noWrap/>
          </w:tcPr>
          <w:p w14:paraId="5BC063E4" w14:textId="1E6A1D6C"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5</w:t>
            </w:r>
          </w:p>
        </w:tc>
        <w:tc>
          <w:tcPr>
            <w:tcW w:w="2126" w:type="dxa"/>
            <w:noWrap/>
          </w:tcPr>
          <w:p w14:paraId="7EC517FD" w14:textId="1C1C7D93"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8</w:t>
            </w:r>
          </w:p>
        </w:tc>
        <w:tc>
          <w:tcPr>
            <w:tcW w:w="2315" w:type="dxa"/>
            <w:noWrap/>
          </w:tcPr>
          <w:p w14:paraId="6A362FE8" w14:textId="5BA438AB"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38.46%</w:t>
            </w:r>
          </w:p>
        </w:tc>
        <w:tc>
          <w:tcPr>
            <w:tcW w:w="1938" w:type="dxa"/>
            <w:noWrap/>
          </w:tcPr>
          <w:p w14:paraId="3BD8BFCF" w14:textId="461EE90A" w:rsidR="0055549D" w:rsidRPr="00C53FC9" w:rsidRDefault="0055549D" w:rsidP="0055549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53FC9">
              <w:rPr>
                <w:rFonts w:ascii="Calibri" w:hAnsi="Calibri" w:cs="Calibri"/>
                <w:color w:val="000000"/>
              </w:rPr>
              <w:t>61.54%</w:t>
            </w:r>
          </w:p>
        </w:tc>
      </w:tr>
      <w:tr w:rsidR="0055549D" w:rsidRPr="00C53FC9" w14:paraId="1FDFAAE1" w14:textId="77777777" w:rsidTr="00061695">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208" w:type="dxa"/>
            <w:shd w:val="clear" w:color="auto" w:fill="ADADAD" w:themeFill="background2" w:themeFillShade="BF"/>
            <w:noWrap/>
            <w:hideMark/>
          </w:tcPr>
          <w:p w14:paraId="7CC593C8" w14:textId="43A3554A" w:rsidR="0055549D" w:rsidRPr="00C53FC9" w:rsidRDefault="0055549D" w:rsidP="0055549D">
            <w:pPr>
              <w:rPr>
                <w:rFonts w:ascii="Calibri" w:hAnsi="Calibri" w:cs="Calibri"/>
                <w:color w:val="auto"/>
              </w:rPr>
            </w:pPr>
            <w:r w:rsidRPr="008627B9">
              <w:rPr>
                <w:rFonts w:ascii="Calibri" w:hAnsi="Calibri" w:cs="Calibri"/>
                <w:color w:val="auto"/>
              </w:rPr>
              <w:t>Total</w:t>
            </w:r>
          </w:p>
        </w:tc>
        <w:tc>
          <w:tcPr>
            <w:tcW w:w="1906" w:type="dxa"/>
            <w:noWrap/>
            <w:hideMark/>
          </w:tcPr>
          <w:p w14:paraId="42C350F3" w14:textId="250F81BA"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473</w:t>
            </w:r>
          </w:p>
        </w:tc>
        <w:tc>
          <w:tcPr>
            <w:tcW w:w="2126" w:type="dxa"/>
            <w:noWrap/>
            <w:hideMark/>
          </w:tcPr>
          <w:p w14:paraId="5A054654" w14:textId="27BC019C"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hAnsi="Calibri" w:cs="Calibri"/>
                <w:b/>
                <w:bCs/>
              </w:rPr>
              <w:t>149</w:t>
            </w:r>
          </w:p>
        </w:tc>
        <w:tc>
          <w:tcPr>
            <w:tcW w:w="2315" w:type="dxa"/>
            <w:noWrap/>
            <w:hideMark/>
          </w:tcPr>
          <w:p w14:paraId="1767EC5E" w14:textId="6260AC2F" w:rsidR="0055549D" w:rsidRPr="00C53FC9" w:rsidRDefault="0055549D" w:rsidP="0055549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eastAsia="Times New Roman" w:hAnsi="Calibri" w:cs="Calibri"/>
                <w:b/>
                <w:bCs/>
                <w:color w:val="000000"/>
                <w:lang w:eastAsia="en-GB"/>
              </w:rPr>
              <w:t>76.00%</w:t>
            </w:r>
          </w:p>
        </w:tc>
        <w:tc>
          <w:tcPr>
            <w:tcW w:w="1938" w:type="dxa"/>
            <w:noWrap/>
            <w:hideMark/>
          </w:tcPr>
          <w:p w14:paraId="08E3A28D" w14:textId="168CE6CE" w:rsidR="0055549D" w:rsidRPr="00C53FC9" w:rsidRDefault="0055549D" w:rsidP="0055549D">
            <w:pPr>
              <w:tabs>
                <w:tab w:val="center" w:pos="803"/>
              </w:tab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53FC9">
              <w:rPr>
                <w:rFonts w:ascii="Calibri" w:eastAsia="Times New Roman" w:hAnsi="Calibri" w:cs="Calibri"/>
                <w:b/>
                <w:bCs/>
                <w:color w:val="000000"/>
                <w:lang w:eastAsia="en-GB"/>
              </w:rPr>
              <w:t>24.00%</w:t>
            </w:r>
          </w:p>
        </w:tc>
      </w:tr>
    </w:tbl>
    <w:p w14:paraId="4CC38B01" w14:textId="4D662A60" w:rsidR="00D718F9" w:rsidRPr="00C53FC9" w:rsidRDefault="007144A7" w:rsidP="007144A7">
      <w:pPr>
        <w:pStyle w:val="Caption"/>
        <w:rPr>
          <w:rFonts w:ascii="Calibri" w:hAnsi="Calibri" w:cs="Calibri"/>
        </w:rPr>
      </w:pPr>
      <w:r w:rsidRPr="00C53FC9">
        <w:rPr>
          <w:rFonts w:ascii="Calibri" w:hAnsi="Calibri" w:cs="Calibri"/>
        </w:rPr>
        <w:t xml:space="preserve">Table </w:t>
      </w:r>
      <w:r w:rsidR="00B93CD1" w:rsidRPr="00C53FC9">
        <w:rPr>
          <w:rFonts w:ascii="Calibri" w:hAnsi="Calibri" w:cs="Calibri"/>
        </w:rPr>
        <w:t>5</w:t>
      </w:r>
      <w:r w:rsidRPr="00C53FC9">
        <w:rPr>
          <w:rFonts w:ascii="Calibri" w:hAnsi="Calibri" w:cs="Calibri"/>
        </w:rPr>
        <w:t xml:space="preserve">- Gender split </w:t>
      </w:r>
      <w:r w:rsidR="00201D2B" w:rsidRPr="00C53FC9">
        <w:rPr>
          <w:rFonts w:ascii="Calibri" w:hAnsi="Calibri" w:cs="Calibri"/>
        </w:rPr>
        <w:t>by AfC banding and FT/PT</w:t>
      </w:r>
    </w:p>
    <w:p w14:paraId="22595E6D" w14:textId="77777777" w:rsidR="00393B00" w:rsidRPr="00C53FC9" w:rsidRDefault="00393B00" w:rsidP="00B52E46">
      <w:pPr>
        <w:ind w:left="360"/>
        <w:rPr>
          <w:rFonts w:ascii="Calibri" w:hAnsi="Calibri" w:cs="Calibri"/>
        </w:rPr>
      </w:pPr>
    </w:p>
    <w:p w14:paraId="5E8815BC" w14:textId="24F9E881" w:rsidR="00B52E46" w:rsidRPr="00C53FC9" w:rsidRDefault="00B52E46" w:rsidP="00B52E46">
      <w:pPr>
        <w:ind w:left="360"/>
        <w:rPr>
          <w:rFonts w:ascii="Calibri" w:hAnsi="Calibri" w:cs="Calibri"/>
        </w:rPr>
      </w:pPr>
      <w:r w:rsidRPr="00C53FC9">
        <w:rPr>
          <w:rFonts w:ascii="Calibri" w:hAnsi="Calibri" w:cs="Calibri"/>
        </w:rPr>
        <w:t>The data on headcount by pay band and working pattern (full-time vs part-time) provides critical insight into gender representation across different levels of the organisation. Overall, female employees make up 76% of the workforce, with males comprising 24%, a trend consistent across both full-time and part-time roles.</w:t>
      </w:r>
    </w:p>
    <w:p w14:paraId="25B6AF88" w14:textId="1ADA5E07" w:rsidR="00B52E46" w:rsidRPr="00C53FC9" w:rsidRDefault="00B52E46" w:rsidP="00B52E46">
      <w:pPr>
        <w:ind w:left="360"/>
        <w:rPr>
          <w:rFonts w:ascii="Calibri" w:hAnsi="Calibri" w:cs="Calibri"/>
        </w:rPr>
      </w:pPr>
      <w:r w:rsidRPr="00C53FC9">
        <w:rPr>
          <w:rFonts w:ascii="Calibri" w:hAnsi="Calibri" w:cs="Calibri"/>
        </w:rPr>
        <w:t xml:space="preserve">Among full-time </w:t>
      </w:r>
      <w:r w:rsidR="00451166" w:rsidRPr="00C53FC9">
        <w:rPr>
          <w:rFonts w:ascii="Calibri" w:hAnsi="Calibri" w:cs="Calibri"/>
        </w:rPr>
        <w:t>employees</w:t>
      </w:r>
      <w:r w:rsidRPr="00C53FC9">
        <w:rPr>
          <w:rFonts w:ascii="Calibri" w:hAnsi="Calibri" w:cs="Calibri"/>
        </w:rPr>
        <w:t>, female employees represent 72.17%, but their representation decreases in the higher pay bands. For example, while female employees dominate Bands 3 to 6, their share starts to decline slightly from Band 7 upward. At the Very Senior Manager (VSM) level, full-time representation is evenly split (50% female, 50% male), which is relatively balanced.</w:t>
      </w:r>
    </w:p>
    <w:p w14:paraId="6C78ACE6" w14:textId="77777777" w:rsidR="00B52E46" w:rsidRPr="00C53FC9" w:rsidRDefault="00B52E46" w:rsidP="00B52E46">
      <w:pPr>
        <w:ind w:left="360"/>
        <w:rPr>
          <w:rFonts w:ascii="Calibri" w:hAnsi="Calibri" w:cs="Calibri"/>
        </w:rPr>
      </w:pPr>
      <w:r w:rsidRPr="00C53FC9">
        <w:rPr>
          <w:rFonts w:ascii="Calibri" w:hAnsi="Calibri" w:cs="Calibri"/>
        </w:rPr>
        <w:t>For part-time roles, female employees make up a striking 87.04%, particularly dominating Bands 3 to 8a, with 100% female representation in several of these bands. However, this trend shifts at the most senior levels. In Consultant roles, only males are represented in part-time posts, and among part-time VSMs, male employees make up 61.54%, compared to 38.46% female employees.</w:t>
      </w:r>
    </w:p>
    <w:p w14:paraId="2E9EFC3E" w14:textId="6C8DF21B" w:rsidR="00201D2B" w:rsidRPr="00C53FC9" w:rsidRDefault="00B52E46" w:rsidP="00B52E46">
      <w:pPr>
        <w:ind w:left="360"/>
        <w:rPr>
          <w:rFonts w:ascii="Calibri" w:hAnsi="Calibri" w:cs="Calibri"/>
        </w:rPr>
      </w:pPr>
      <w:r w:rsidRPr="00C53FC9">
        <w:rPr>
          <w:rFonts w:ascii="Calibri" w:hAnsi="Calibri" w:cs="Calibri"/>
        </w:rPr>
        <w:lastRenderedPageBreak/>
        <w:t>This distribution suggests that female employees are more concentrated in lower to mid pay bands and part-time roles, while male employees are more represented at the upper end of the pay scale, particularly in senior part-time and consultant positions. This structural imbalance likely contributes to the gender pay gap, particularly the mean pay gap, and underscores the need for action to support career progression for female employees and increase gender diversity in senior, full-time positions.</w:t>
      </w:r>
    </w:p>
    <w:p w14:paraId="3F2838B3" w14:textId="77777777" w:rsidR="002303AB" w:rsidRPr="00C53FC9" w:rsidRDefault="002303AB" w:rsidP="00B52E46">
      <w:pPr>
        <w:ind w:left="360"/>
        <w:rPr>
          <w:rFonts w:ascii="Calibri" w:hAnsi="Calibri" w:cs="Calibri"/>
        </w:rPr>
      </w:pPr>
    </w:p>
    <w:p w14:paraId="0B105E4B" w14:textId="25447285" w:rsidR="007D610C" w:rsidRPr="00C53FC9" w:rsidRDefault="007D610C" w:rsidP="007D610C">
      <w:pPr>
        <w:pStyle w:val="Heading1"/>
        <w:numPr>
          <w:ilvl w:val="0"/>
          <w:numId w:val="3"/>
        </w:numPr>
        <w:rPr>
          <w:rFonts w:ascii="Calibri" w:hAnsi="Calibri" w:cs="Calibri"/>
        </w:rPr>
      </w:pPr>
      <w:bookmarkStart w:id="8" w:name="_Toc200968398"/>
      <w:r w:rsidRPr="00C53FC9">
        <w:rPr>
          <w:rFonts w:ascii="Calibri" w:hAnsi="Calibri" w:cs="Calibri"/>
        </w:rPr>
        <w:t>Conclusion and Recommendations</w:t>
      </w:r>
      <w:bookmarkEnd w:id="8"/>
    </w:p>
    <w:p w14:paraId="2B1210A0" w14:textId="77777777" w:rsidR="00175F2B" w:rsidRPr="00C53FC9" w:rsidRDefault="00175F2B" w:rsidP="00175F2B">
      <w:pPr>
        <w:ind w:left="360"/>
        <w:jc w:val="both"/>
        <w:rPr>
          <w:rFonts w:ascii="Calibri" w:hAnsi="Calibri" w:cs="Calibri"/>
        </w:rPr>
      </w:pPr>
      <w:r w:rsidRPr="00C53FC9">
        <w:rPr>
          <w:rFonts w:ascii="Calibri" w:hAnsi="Calibri" w:cs="Calibri"/>
        </w:rPr>
        <w:t>The analysis of gender representation and pay across the ICB highlights a workforce that is predominantly female, with female employees strongly represented in lower pay bands and part-time roles. While this high proportion of female representation may suggest progress in gender inclusion, the gender pay gap data reveals deeper structural imbalances. The mean gender pay gap, though improved from 37.84% in 2024 to 27.78% in 2025, remains significant. The median gender pay gap, meanwhile, increased sharply from 9.72% to 19.80%, suggesting unequal pay distribution particularly among mid-level roles. The quartile distribution further shows that male representation steadily increases in higher pay bands, culminating in 42.33% male representation in the upper quartile, compared to just 10.42% in the lowest. This imbalance is particularly evident in senior part-time and consultant roles, where men are disproportionately represented.</w:t>
      </w:r>
    </w:p>
    <w:p w14:paraId="5C806700" w14:textId="04D7B86F" w:rsidR="00175F2B" w:rsidRPr="00C53FC9" w:rsidRDefault="00175F2B" w:rsidP="00175F2B">
      <w:pPr>
        <w:ind w:left="360"/>
        <w:jc w:val="both"/>
        <w:rPr>
          <w:rFonts w:ascii="Calibri" w:hAnsi="Calibri" w:cs="Calibri"/>
        </w:rPr>
      </w:pPr>
      <w:r w:rsidRPr="00C53FC9">
        <w:rPr>
          <w:rFonts w:ascii="Calibri" w:hAnsi="Calibri" w:cs="Calibri"/>
        </w:rPr>
        <w:t>Given the organisation’s relatively small size (622 staff), even modest changes in recruitment, promotions, or turnover, especially in higher bands, can have a disproportionate impact on pay gap figures. To address these disparities, it is recommended that the ICB implements targeted initiatives aimed at supporting female career progression into senior roles, including flexible development pathways and mentorship schemes. A review of recruitment and promotion processes at Bands 8 and above should also be undertaken to identify and remove any unintentional bias. Additionally, improving male representation in lower bands and part-time roles may help balance the workforce distribution and further reduce the pay gap. Ongoing monitoring and transparent reporting will be key to sustaining progress and ensuring accountability in achieving gender pay equity.</w:t>
      </w:r>
    </w:p>
    <w:p w14:paraId="6B9DBDAE" w14:textId="77777777" w:rsidR="00175F2B" w:rsidRPr="00C53FC9" w:rsidRDefault="00175F2B" w:rsidP="00175F2B">
      <w:pPr>
        <w:ind w:left="360"/>
        <w:jc w:val="both"/>
        <w:rPr>
          <w:rFonts w:ascii="Calibri" w:hAnsi="Calibri" w:cs="Calibri"/>
        </w:rPr>
      </w:pPr>
    </w:p>
    <w:p w14:paraId="367FB6EA" w14:textId="77777777" w:rsidR="00DA4478" w:rsidRPr="00C53FC9" w:rsidRDefault="00DA4478" w:rsidP="00175F2B">
      <w:pPr>
        <w:ind w:left="360"/>
        <w:jc w:val="both"/>
        <w:rPr>
          <w:rFonts w:ascii="Calibri" w:hAnsi="Calibri" w:cs="Calibri"/>
        </w:rPr>
      </w:pPr>
    </w:p>
    <w:p w14:paraId="73D03734" w14:textId="77777777" w:rsidR="00DA4478" w:rsidRPr="00C53FC9" w:rsidRDefault="00DA4478" w:rsidP="00175F2B">
      <w:pPr>
        <w:ind w:left="360"/>
        <w:jc w:val="both"/>
        <w:rPr>
          <w:rFonts w:ascii="Calibri" w:hAnsi="Calibri" w:cs="Calibri"/>
        </w:rPr>
      </w:pPr>
    </w:p>
    <w:p w14:paraId="44CF7857" w14:textId="77777777" w:rsidR="00DA4478" w:rsidRDefault="00DA4478" w:rsidP="00175F2B">
      <w:pPr>
        <w:ind w:left="360"/>
        <w:jc w:val="both"/>
        <w:rPr>
          <w:rFonts w:ascii="Calibri" w:hAnsi="Calibri" w:cs="Calibri"/>
        </w:rPr>
      </w:pPr>
    </w:p>
    <w:p w14:paraId="4E3E4F3D" w14:textId="77777777" w:rsidR="00C53FC9" w:rsidRDefault="00C53FC9" w:rsidP="00175F2B">
      <w:pPr>
        <w:ind w:left="360"/>
        <w:jc w:val="both"/>
        <w:rPr>
          <w:rFonts w:ascii="Calibri" w:hAnsi="Calibri" w:cs="Calibri"/>
        </w:rPr>
      </w:pPr>
    </w:p>
    <w:p w14:paraId="7C4CF0C2" w14:textId="77777777" w:rsidR="00164552" w:rsidRDefault="00164552" w:rsidP="00175F2B">
      <w:pPr>
        <w:ind w:left="360"/>
        <w:jc w:val="both"/>
        <w:rPr>
          <w:rFonts w:ascii="Calibri" w:hAnsi="Calibri" w:cs="Calibri"/>
        </w:rPr>
      </w:pPr>
    </w:p>
    <w:p w14:paraId="2B77D89F" w14:textId="77777777" w:rsidR="00164552" w:rsidRDefault="00164552" w:rsidP="00175F2B">
      <w:pPr>
        <w:ind w:left="360"/>
        <w:jc w:val="both"/>
        <w:rPr>
          <w:rFonts w:ascii="Calibri" w:hAnsi="Calibri" w:cs="Calibri"/>
        </w:rPr>
      </w:pPr>
    </w:p>
    <w:p w14:paraId="290F20A6" w14:textId="77777777" w:rsidR="00164552" w:rsidRDefault="00164552" w:rsidP="00175F2B">
      <w:pPr>
        <w:ind w:left="360"/>
        <w:jc w:val="both"/>
        <w:rPr>
          <w:rFonts w:ascii="Calibri" w:hAnsi="Calibri" w:cs="Calibri"/>
        </w:rPr>
      </w:pPr>
    </w:p>
    <w:p w14:paraId="585075B5" w14:textId="77777777" w:rsidR="00164552" w:rsidRDefault="00164552" w:rsidP="00175F2B">
      <w:pPr>
        <w:ind w:left="360"/>
        <w:jc w:val="both"/>
        <w:rPr>
          <w:rFonts w:ascii="Calibri" w:hAnsi="Calibri" w:cs="Calibri"/>
        </w:rPr>
      </w:pPr>
    </w:p>
    <w:p w14:paraId="72DAEBFB" w14:textId="77777777" w:rsidR="00164552" w:rsidRDefault="00164552" w:rsidP="00175F2B">
      <w:pPr>
        <w:ind w:left="360"/>
        <w:jc w:val="both"/>
        <w:rPr>
          <w:rFonts w:ascii="Calibri" w:hAnsi="Calibri" w:cs="Calibri"/>
        </w:rPr>
      </w:pPr>
    </w:p>
    <w:p w14:paraId="1707555D" w14:textId="77777777" w:rsidR="00164552" w:rsidRPr="00C53FC9" w:rsidRDefault="00164552" w:rsidP="00164552">
      <w:pPr>
        <w:pStyle w:val="Heading1"/>
        <w:numPr>
          <w:ilvl w:val="0"/>
          <w:numId w:val="3"/>
        </w:numPr>
        <w:rPr>
          <w:rFonts w:ascii="Calibri" w:hAnsi="Calibri" w:cs="Calibri"/>
        </w:rPr>
      </w:pPr>
      <w:r w:rsidRPr="00C53FC9">
        <w:rPr>
          <w:rFonts w:ascii="Calibri" w:hAnsi="Calibri" w:cs="Calibri"/>
        </w:rPr>
        <w:lastRenderedPageBreak/>
        <w:t>Action Pan</w:t>
      </w:r>
    </w:p>
    <w:p w14:paraId="0F629E30" w14:textId="77777777" w:rsidR="00164552" w:rsidRPr="00C53FC9" w:rsidRDefault="00164552" w:rsidP="00164552">
      <w:pPr>
        <w:ind w:left="360"/>
        <w:jc w:val="both"/>
        <w:rPr>
          <w:rFonts w:ascii="Calibri" w:hAnsi="Calibri" w:cs="Calibri"/>
        </w:rPr>
      </w:pPr>
      <w:r w:rsidRPr="00C53FC9">
        <w:rPr>
          <w:rFonts w:ascii="Calibri" w:hAnsi="Calibri" w:cs="Calibri"/>
        </w:rPr>
        <w:t xml:space="preserve">The ICB has a dedicated </w:t>
      </w:r>
      <w:hyperlink r:id="rId7" w:history="1">
        <w:r w:rsidRPr="00C53FC9">
          <w:rPr>
            <w:rStyle w:val="Hyperlink"/>
            <w:rFonts w:ascii="Calibri" w:hAnsi="Calibri" w:cs="Calibri"/>
          </w:rPr>
          <w:t>Equality, Diversity, and Inclusion (EDI) Action Plan</w:t>
        </w:r>
        <w:r w:rsidRPr="00C53FC9">
          <w:rPr>
            <w:rStyle w:val="Hyperlink"/>
            <w:rFonts w:ascii="Calibri" w:hAnsi="Calibri" w:cs="Calibri"/>
            <w:u w:val="none"/>
          </w:rPr>
          <w:t xml:space="preserve"> </w:t>
        </w:r>
      </w:hyperlink>
      <w:r w:rsidRPr="00C53FC9">
        <w:rPr>
          <w:rFonts w:ascii="Calibri" w:hAnsi="Calibri" w:cs="Calibri"/>
        </w:rPr>
        <w:t>in place for 2025/26, which outlines broader organisational priorities in promoting equity and inclusive practices. This Gender Pay Gap Action Plan should be read in conjunction with the EDI strategy, as it highlights targeted actions specifically focused on addressing gender-related pay disparities.</w:t>
      </w:r>
    </w:p>
    <w:p w14:paraId="70C5621B" w14:textId="77777777" w:rsidR="00164552" w:rsidRPr="00C53FC9" w:rsidRDefault="00164552" w:rsidP="00175F2B">
      <w:pPr>
        <w:ind w:left="360"/>
        <w:jc w:val="both"/>
        <w:rPr>
          <w:rFonts w:ascii="Calibri" w:hAnsi="Calibri" w:cs="Calibri"/>
        </w:rPr>
      </w:pPr>
    </w:p>
    <w:tbl>
      <w:tblPr>
        <w:tblStyle w:val="TableGrid"/>
        <w:tblpPr w:leftFromText="180" w:rightFromText="180" w:vertAnchor="text" w:horzAnchor="margin" w:tblpY="268"/>
        <w:tblW w:w="0" w:type="auto"/>
        <w:tblLook w:val="04A0" w:firstRow="1" w:lastRow="0" w:firstColumn="1" w:lastColumn="0" w:noHBand="0" w:noVBand="1"/>
      </w:tblPr>
      <w:tblGrid>
        <w:gridCol w:w="1728"/>
        <w:gridCol w:w="1728"/>
        <w:gridCol w:w="1718"/>
        <w:gridCol w:w="2097"/>
        <w:gridCol w:w="1728"/>
      </w:tblGrid>
      <w:tr w:rsidR="00C53FC9" w:rsidRPr="00164552" w14:paraId="543B2FDC" w14:textId="77777777" w:rsidTr="00F9640B">
        <w:tc>
          <w:tcPr>
            <w:tcW w:w="1728" w:type="dxa"/>
            <w:shd w:val="clear" w:color="auto" w:fill="156082" w:themeFill="accent1"/>
          </w:tcPr>
          <w:p w14:paraId="69C38843" w14:textId="77777777" w:rsidR="00C53FC9" w:rsidRPr="00164552" w:rsidRDefault="00C53FC9" w:rsidP="00164552">
            <w:pPr>
              <w:rPr>
                <w:rFonts w:ascii="Calibri" w:hAnsi="Calibri" w:cs="Calibri"/>
                <w:b/>
                <w:bCs/>
                <w:color w:val="FFFFFF" w:themeColor="background1"/>
              </w:rPr>
            </w:pPr>
            <w:bookmarkStart w:id="9" w:name="_Toc200968399"/>
            <w:r w:rsidRPr="00164552">
              <w:rPr>
                <w:rFonts w:ascii="Calibri" w:hAnsi="Calibri" w:cs="Calibri"/>
                <w:b/>
                <w:bCs/>
                <w:color w:val="FFFFFF" w:themeColor="background1"/>
              </w:rPr>
              <w:t>Action Area</w:t>
            </w:r>
          </w:p>
        </w:tc>
        <w:tc>
          <w:tcPr>
            <w:tcW w:w="1728" w:type="dxa"/>
            <w:shd w:val="clear" w:color="auto" w:fill="156082" w:themeFill="accent1"/>
          </w:tcPr>
          <w:p w14:paraId="0D4F5D91" w14:textId="77777777" w:rsidR="00C53FC9" w:rsidRPr="00164552" w:rsidRDefault="00C53FC9" w:rsidP="00164552">
            <w:pPr>
              <w:rPr>
                <w:rFonts w:ascii="Calibri" w:hAnsi="Calibri" w:cs="Calibri"/>
                <w:b/>
                <w:bCs/>
                <w:color w:val="FFFFFF" w:themeColor="background1"/>
              </w:rPr>
            </w:pPr>
            <w:r w:rsidRPr="00164552">
              <w:rPr>
                <w:rFonts w:ascii="Calibri" w:hAnsi="Calibri" w:cs="Calibri"/>
                <w:b/>
                <w:bCs/>
                <w:color w:val="FFFFFF" w:themeColor="background1"/>
              </w:rPr>
              <w:t>Action</w:t>
            </w:r>
          </w:p>
        </w:tc>
        <w:tc>
          <w:tcPr>
            <w:tcW w:w="1718" w:type="dxa"/>
            <w:shd w:val="clear" w:color="auto" w:fill="156082" w:themeFill="accent1"/>
          </w:tcPr>
          <w:p w14:paraId="38C53461" w14:textId="77777777" w:rsidR="00C53FC9" w:rsidRPr="00164552" w:rsidRDefault="00C53FC9" w:rsidP="00164552">
            <w:pPr>
              <w:rPr>
                <w:rFonts w:ascii="Calibri" w:hAnsi="Calibri" w:cs="Calibri"/>
                <w:b/>
                <w:bCs/>
                <w:color w:val="FFFFFF" w:themeColor="background1"/>
              </w:rPr>
            </w:pPr>
            <w:r w:rsidRPr="00164552">
              <w:rPr>
                <w:rFonts w:ascii="Calibri" w:hAnsi="Calibri" w:cs="Calibri"/>
                <w:b/>
                <w:bCs/>
                <w:color w:val="FFFFFF" w:themeColor="background1"/>
              </w:rPr>
              <w:t>Responsible</w:t>
            </w:r>
          </w:p>
        </w:tc>
        <w:tc>
          <w:tcPr>
            <w:tcW w:w="2097" w:type="dxa"/>
            <w:shd w:val="clear" w:color="auto" w:fill="156082" w:themeFill="accent1"/>
          </w:tcPr>
          <w:p w14:paraId="007749A1" w14:textId="77777777" w:rsidR="00C53FC9" w:rsidRPr="00164552" w:rsidRDefault="00C53FC9" w:rsidP="00164552">
            <w:pPr>
              <w:rPr>
                <w:rFonts w:ascii="Calibri" w:hAnsi="Calibri" w:cs="Calibri"/>
                <w:b/>
                <w:bCs/>
                <w:color w:val="FFFFFF" w:themeColor="background1"/>
              </w:rPr>
            </w:pPr>
            <w:r w:rsidRPr="00164552">
              <w:rPr>
                <w:rFonts w:ascii="Calibri" w:hAnsi="Calibri" w:cs="Calibri"/>
                <w:b/>
                <w:bCs/>
                <w:color w:val="FFFFFF" w:themeColor="background1"/>
              </w:rPr>
              <w:t>Timeline</w:t>
            </w:r>
          </w:p>
        </w:tc>
        <w:tc>
          <w:tcPr>
            <w:tcW w:w="1728" w:type="dxa"/>
            <w:shd w:val="clear" w:color="auto" w:fill="156082" w:themeFill="accent1"/>
          </w:tcPr>
          <w:p w14:paraId="7B505789" w14:textId="77777777" w:rsidR="00C53FC9" w:rsidRPr="00164552" w:rsidRDefault="00C53FC9" w:rsidP="00164552">
            <w:pPr>
              <w:rPr>
                <w:rFonts w:ascii="Calibri" w:hAnsi="Calibri" w:cs="Calibri"/>
                <w:b/>
                <w:bCs/>
                <w:color w:val="FFFFFF" w:themeColor="background1"/>
              </w:rPr>
            </w:pPr>
            <w:r w:rsidRPr="00164552">
              <w:rPr>
                <w:rFonts w:ascii="Calibri" w:hAnsi="Calibri" w:cs="Calibri"/>
                <w:b/>
                <w:bCs/>
                <w:color w:val="FFFFFF" w:themeColor="background1"/>
              </w:rPr>
              <w:t>Success Measures</w:t>
            </w:r>
          </w:p>
        </w:tc>
      </w:tr>
      <w:tr w:rsidR="00C53FC9" w:rsidRPr="00C53FC9" w14:paraId="113C5FA1" w14:textId="77777777" w:rsidTr="00F9640B">
        <w:tc>
          <w:tcPr>
            <w:tcW w:w="1728" w:type="dxa"/>
            <w:shd w:val="clear" w:color="auto" w:fill="156082" w:themeFill="accent1"/>
          </w:tcPr>
          <w:p w14:paraId="7DA7F17F"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Governance and Accountability</w:t>
            </w:r>
          </w:p>
        </w:tc>
        <w:tc>
          <w:tcPr>
            <w:tcW w:w="1728" w:type="dxa"/>
          </w:tcPr>
          <w:p w14:paraId="2EE88887" w14:textId="77777777" w:rsidR="00C53FC9" w:rsidRPr="00C53FC9" w:rsidRDefault="00C53FC9" w:rsidP="00164552">
            <w:pPr>
              <w:rPr>
                <w:rFonts w:ascii="Calibri" w:hAnsi="Calibri" w:cs="Calibri"/>
              </w:rPr>
            </w:pPr>
            <w:r w:rsidRPr="00C53FC9">
              <w:rPr>
                <w:rFonts w:ascii="Calibri" w:hAnsi="Calibri" w:cs="Calibri"/>
              </w:rPr>
              <w:t>Assign senior leadership accountability for gender pay gap reporting and progress monitoring.</w:t>
            </w:r>
          </w:p>
        </w:tc>
        <w:tc>
          <w:tcPr>
            <w:tcW w:w="1718" w:type="dxa"/>
          </w:tcPr>
          <w:p w14:paraId="29CA7265" w14:textId="77777777" w:rsidR="00C53FC9" w:rsidRPr="00C53FC9" w:rsidRDefault="00C53FC9" w:rsidP="00164552">
            <w:pPr>
              <w:rPr>
                <w:rFonts w:ascii="Calibri" w:hAnsi="Calibri" w:cs="Calibri"/>
              </w:rPr>
            </w:pPr>
            <w:r w:rsidRPr="00C53FC9">
              <w:rPr>
                <w:rFonts w:ascii="Calibri" w:hAnsi="Calibri" w:cs="Calibri"/>
              </w:rPr>
              <w:t>Director of People / Chief People Officer</w:t>
            </w:r>
          </w:p>
        </w:tc>
        <w:tc>
          <w:tcPr>
            <w:tcW w:w="2097" w:type="dxa"/>
          </w:tcPr>
          <w:p w14:paraId="56934DE1" w14:textId="77777777" w:rsidR="00C53FC9" w:rsidRPr="00C53FC9" w:rsidRDefault="00C53FC9" w:rsidP="00164552">
            <w:pPr>
              <w:rPr>
                <w:rFonts w:ascii="Calibri" w:hAnsi="Calibri" w:cs="Calibri"/>
              </w:rPr>
            </w:pPr>
            <w:r w:rsidRPr="00C53FC9">
              <w:rPr>
                <w:rFonts w:ascii="Calibri" w:hAnsi="Calibri" w:cs="Calibri"/>
              </w:rPr>
              <w:t>Q2 2025 (ongoing annually)</w:t>
            </w:r>
          </w:p>
        </w:tc>
        <w:tc>
          <w:tcPr>
            <w:tcW w:w="1728" w:type="dxa"/>
          </w:tcPr>
          <w:p w14:paraId="3E617FD4" w14:textId="77777777" w:rsidR="0000231A" w:rsidRDefault="00C53FC9" w:rsidP="00164552">
            <w:pPr>
              <w:rPr>
                <w:rFonts w:ascii="Calibri" w:hAnsi="Calibri" w:cs="Calibri"/>
              </w:rPr>
            </w:pPr>
            <w:r w:rsidRPr="00C53FC9">
              <w:rPr>
                <w:rFonts w:ascii="Calibri" w:hAnsi="Calibri" w:cs="Calibri"/>
              </w:rPr>
              <w:t>Named senior lead identified in public statement</w:t>
            </w:r>
          </w:p>
          <w:p w14:paraId="500FC144" w14:textId="77777777" w:rsidR="0000231A" w:rsidRDefault="0000231A" w:rsidP="00164552">
            <w:pPr>
              <w:rPr>
                <w:rFonts w:ascii="Calibri" w:hAnsi="Calibri" w:cs="Calibri"/>
              </w:rPr>
            </w:pPr>
          </w:p>
          <w:p w14:paraId="3AED5716" w14:textId="3D71C141" w:rsidR="00C53FC9" w:rsidRDefault="00C53FC9" w:rsidP="00164552">
            <w:pPr>
              <w:rPr>
                <w:rFonts w:ascii="Calibri" w:hAnsi="Calibri" w:cs="Calibri"/>
              </w:rPr>
            </w:pPr>
            <w:r w:rsidRPr="00C53FC9">
              <w:rPr>
                <w:rFonts w:ascii="Calibri" w:hAnsi="Calibri" w:cs="Calibri"/>
              </w:rPr>
              <w:t>Annual reports signed off and published on time</w:t>
            </w:r>
          </w:p>
          <w:p w14:paraId="6C1F8BA0" w14:textId="77777777" w:rsidR="00E82D79" w:rsidRPr="00C53FC9" w:rsidRDefault="00E82D79" w:rsidP="00164552">
            <w:pPr>
              <w:rPr>
                <w:rFonts w:ascii="Calibri" w:hAnsi="Calibri" w:cs="Calibri"/>
              </w:rPr>
            </w:pPr>
          </w:p>
        </w:tc>
      </w:tr>
      <w:tr w:rsidR="00C53FC9" w:rsidRPr="00C53FC9" w14:paraId="7B6EF63A" w14:textId="77777777" w:rsidTr="00F9640B">
        <w:tc>
          <w:tcPr>
            <w:tcW w:w="1728" w:type="dxa"/>
            <w:shd w:val="clear" w:color="auto" w:fill="156082" w:themeFill="accent1"/>
          </w:tcPr>
          <w:p w14:paraId="542D698C"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Data Transparency and Reporting</w:t>
            </w:r>
          </w:p>
        </w:tc>
        <w:tc>
          <w:tcPr>
            <w:tcW w:w="1728" w:type="dxa"/>
          </w:tcPr>
          <w:p w14:paraId="340EAA7F" w14:textId="2945585F" w:rsidR="00C53FC9" w:rsidRDefault="00C53FC9" w:rsidP="00164552">
            <w:pPr>
              <w:rPr>
                <w:rFonts w:ascii="Calibri" w:hAnsi="Calibri" w:cs="Calibri"/>
              </w:rPr>
            </w:pPr>
            <w:r w:rsidRPr="00C53FC9">
              <w:rPr>
                <w:rFonts w:ascii="Calibri" w:hAnsi="Calibri" w:cs="Calibri"/>
              </w:rPr>
              <w:t>Ensure timely collection, analysis and publication of gender pay gap data.</w:t>
            </w:r>
          </w:p>
          <w:p w14:paraId="6D36F354" w14:textId="77777777" w:rsidR="00E82D79" w:rsidRPr="00C53FC9" w:rsidRDefault="00E82D79" w:rsidP="00164552">
            <w:pPr>
              <w:rPr>
                <w:rFonts w:ascii="Calibri" w:hAnsi="Calibri" w:cs="Calibri"/>
              </w:rPr>
            </w:pPr>
          </w:p>
        </w:tc>
        <w:tc>
          <w:tcPr>
            <w:tcW w:w="1718" w:type="dxa"/>
          </w:tcPr>
          <w:p w14:paraId="7021C4B0" w14:textId="77777777" w:rsidR="00C53FC9" w:rsidRPr="00C53FC9" w:rsidRDefault="00C53FC9" w:rsidP="00164552">
            <w:pPr>
              <w:rPr>
                <w:rFonts w:ascii="Calibri" w:hAnsi="Calibri" w:cs="Calibri"/>
              </w:rPr>
            </w:pPr>
            <w:r w:rsidRPr="00C53FC9">
              <w:rPr>
                <w:rFonts w:ascii="Calibri" w:hAnsi="Calibri" w:cs="Calibri"/>
              </w:rPr>
              <w:t>HR Analytics Team</w:t>
            </w:r>
          </w:p>
        </w:tc>
        <w:tc>
          <w:tcPr>
            <w:tcW w:w="2097" w:type="dxa"/>
          </w:tcPr>
          <w:p w14:paraId="2CF1F7A4" w14:textId="194B76AC" w:rsidR="00122D4A" w:rsidRDefault="00C53FC9" w:rsidP="00164552">
            <w:pPr>
              <w:rPr>
                <w:rFonts w:ascii="Calibri" w:hAnsi="Calibri" w:cs="Calibri"/>
              </w:rPr>
            </w:pPr>
            <w:r w:rsidRPr="00C53FC9">
              <w:rPr>
                <w:rFonts w:ascii="Calibri" w:hAnsi="Calibri" w:cs="Calibri"/>
              </w:rPr>
              <w:t>Snapshot</w:t>
            </w:r>
            <w:r w:rsidR="009746BD">
              <w:rPr>
                <w:rFonts w:ascii="Calibri" w:hAnsi="Calibri" w:cs="Calibri"/>
              </w:rPr>
              <w:t xml:space="preserve"> data</w:t>
            </w:r>
            <w:r w:rsidRPr="00C53FC9">
              <w:rPr>
                <w:rFonts w:ascii="Calibri" w:hAnsi="Calibri" w:cs="Calibri"/>
              </w:rPr>
              <w:t xml:space="preserve"> 31 March</w:t>
            </w:r>
            <w:r w:rsidR="00122D4A">
              <w:rPr>
                <w:rFonts w:ascii="Calibri" w:hAnsi="Calibri" w:cs="Calibri"/>
              </w:rPr>
              <w:t xml:space="preserve"> 2026</w:t>
            </w:r>
          </w:p>
          <w:p w14:paraId="78AC7D6A" w14:textId="77777777" w:rsidR="00122D4A" w:rsidRDefault="00122D4A" w:rsidP="00164552">
            <w:pPr>
              <w:rPr>
                <w:rFonts w:ascii="Calibri" w:hAnsi="Calibri" w:cs="Calibri"/>
              </w:rPr>
            </w:pPr>
          </w:p>
          <w:p w14:paraId="5A8398C9" w14:textId="2EB995EE" w:rsidR="00C53FC9" w:rsidRPr="00C53FC9" w:rsidRDefault="009746BD" w:rsidP="00164552">
            <w:pPr>
              <w:rPr>
                <w:rFonts w:ascii="Calibri" w:hAnsi="Calibri" w:cs="Calibri"/>
              </w:rPr>
            </w:pPr>
            <w:r>
              <w:rPr>
                <w:rFonts w:ascii="Calibri" w:hAnsi="Calibri" w:cs="Calibri"/>
              </w:rPr>
              <w:t>Q1</w:t>
            </w:r>
            <w:r w:rsidR="00C53FC9" w:rsidRPr="00C53FC9">
              <w:rPr>
                <w:rFonts w:ascii="Calibri" w:hAnsi="Calibri" w:cs="Calibri"/>
              </w:rPr>
              <w:t xml:space="preserve"> 2026</w:t>
            </w:r>
            <w:r>
              <w:rPr>
                <w:rFonts w:ascii="Calibri" w:hAnsi="Calibri" w:cs="Calibri"/>
              </w:rPr>
              <w:t>/27</w:t>
            </w:r>
            <w:r w:rsidR="00202751">
              <w:rPr>
                <w:rFonts w:ascii="Calibri" w:hAnsi="Calibri" w:cs="Calibri"/>
              </w:rPr>
              <w:t>: Publish GPG Report 2026</w:t>
            </w:r>
          </w:p>
        </w:tc>
        <w:tc>
          <w:tcPr>
            <w:tcW w:w="1728" w:type="dxa"/>
          </w:tcPr>
          <w:p w14:paraId="058932D0" w14:textId="185083EB" w:rsidR="00C53FC9" w:rsidRPr="00C53FC9" w:rsidRDefault="00C53FC9" w:rsidP="00164552">
            <w:pPr>
              <w:rPr>
                <w:rFonts w:ascii="Calibri" w:hAnsi="Calibri" w:cs="Calibri"/>
              </w:rPr>
            </w:pPr>
            <w:r w:rsidRPr="00C53FC9">
              <w:rPr>
                <w:rFonts w:ascii="Calibri" w:hAnsi="Calibri" w:cs="Calibri"/>
              </w:rPr>
              <w:t>Full compliance with regulatory deadlines</w:t>
            </w:r>
            <w:r w:rsidR="009746BD">
              <w:rPr>
                <w:rFonts w:ascii="Calibri" w:hAnsi="Calibri" w:cs="Calibri"/>
              </w:rPr>
              <w:t xml:space="preserve"> and c</w:t>
            </w:r>
            <w:r w:rsidRPr="00C53FC9">
              <w:rPr>
                <w:rFonts w:ascii="Calibri" w:hAnsi="Calibri" w:cs="Calibri"/>
              </w:rPr>
              <w:t>lear public-facing reporting</w:t>
            </w:r>
          </w:p>
        </w:tc>
      </w:tr>
      <w:tr w:rsidR="00C53FC9" w:rsidRPr="00C53FC9" w14:paraId="77C9CB06" w14:textId="77777777" w:rsidTr="00F9640B">
        <w:tc>
          <w:tcPr>
            <w:tcW w:w="1728" w:type="dxa"/>
            <w:shd w:val="clear" w:color="auto" w:fill="156082" w:themeFill="accent1"/>
          </w:tcPr>
          <w:p w14:paraId="6AE916C3"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Review of Recruitment and Promotion Practices</w:t>
            </w:r>
          </w:p>
        </w:tc>
        <w:tc>
          <w:tcPr>
            <w:tcW w:w="1728" w:type="dxa"/>
          </w:tcPr>
          <w:p w14:paraId="4E41170D" w14:textId="77777777" w:rsidR="00C53FC9" w:rsidRDefault="00C53FC9" w:rsidP="00164552">
            <w:pPr>
              <w:rPr>
                <w:rFonts w:ascii="Calibri" w:hAnsi="Calibri" w:cs="Calibri"/>
              </w:rPr>
            </w:pPr>
            <w:r w:rsidRPr="00C53FC9">
              <w:rPr>
                <w:rFonts w:ascii="Calibri" w:hAnsi="Calibri" w:cs="Calibri"/>
              </w:rPr>
              <w:t>Audit recruitment and promotion procedures to identify barriers to female advancement into senior roles</w:t>
            </w:r>
            <w:r w:rsidR="00A31DB3">
              <w:rPr>
                <w:rFonts w:ascii="Calibri" w:hAnsi="Calibri" w:cs="Calibri"/>
              </w:rPr>
              <w:t>.</w:t>
            </w:r>
          </w:p>
          <w:p w14:paraId="0B1B353F" w14:textId="7B87E4E0" w:rsidR="00A31DB3" w:rsidRPr="00C53FC9" w:rsidRDefault="00A31DB3" w:rsidP="00164552">
            <w:pPr>
              <w:rPr>
                <w:rFonts w:ascii="Calibri" w:hAnsi="Calibri" w:cs="Calibri"/>
              </w:rPr>
            </w:pPr>
          </w:p>
        </w:tc>
        <w:tc>
          <w:tcPr>
            <w:tcW w:w="1718" w:type="dxa"/>
          </w:tcPr>
          <w:p w14:paraId="2DD675D9" w14:textId="77777777" w:rsidR="00C53FC9" w:rsidRPr="00C53FC9" w:rsidRDefault="00C53FC9" w:rsidP="00164552">
            <w:pPr>
              <w:rPr>
                <w:rFonts w:ascii="Calibri" w:hAnsi="Calibri" w:cs="Calibri"/>
              </w:rPr>
            </w:pPr>
            <w:r w:rsidRPr="00C53FC9">
              <w:rPr>
                <w:rFonts w:ascii="Calibri" w:hAnsi="Calibri" w:cs="Calibri"/>
              </w:rPr>
              <w:t>HR Business Partners / Recruitment Team</w:t>
            </w:r>
          </w:p>
        </w:tc>
        <w:tc>
          <w:tcPr>
            <w:tcW w:w="2097" w:type="dxa"/>
          </w:tcPr>
          <w:p w14:paraId="6EB012C7" w14:textId="6CF00BFB" w:rsidR="0000231A" w:rsidRDefault="00C53FC9" w:rsidP="00164552">
            <w:pPr>
              <w:rPr>
                <w:rFonts w:ascii="Calibri" w:hAnsi="Calibri" w:cs="Calibri"/>
              </w:rPr>
            </w:pPr>
            <w:r w:rsidRPr="00C53FC9">
              <w:rPr>
                <w:rFonts w:ascii="Calibri" w:hAnsi="Calibri" w:cs="Calibri"/>
              </w:rPr>
              <w:t>Q3 2025</w:t>
            </w:r>
            <w:r w:rsidR="0000231A">
              <w:rPr>
                <w:rFonts w:ascii="Calibri" w:hAnsi="Calibri" w:cs="Calibri"/>
              </w:rPr>
              <w:t>/26</w:t>
            </w:r>
            <w:r w:rsidR="007B0DE2">
              <w:rPr>
                <w:rFonts w:ascii="Calibri" w:hAnsi="Calibri" w:cs="Calibri"/>
              </w:rPr>
              <w:t>: Conduct initial audit</w:t>
            </w:r>
            <w:r w:rsidR="00596C59">
              <w:rPr>
                <w:rFonts w:ascii="Calibri" w:hAnsi="Calibri" w:cs="Calibri"/>
              </w:rPr>
              <w:t xml:space="preserve"> and identify actions</w:t>
            </w:r>
          </w:p>
          <w:p w14:paraId="264E7DE3" w14:textId="77777777" w:rsidR="0000231A" w:rsidRDefault="0000231A" w:rsidP="00164552">
            <w:pPr>
              <w:rPr>
                <w:rFonts w:ascii="Calibri" w:hAnsi="Calibri" w:cs="Calibri"/>
              </w:rPr>
            </w:pPr>
          </w:p>
          <w:p w14:paraId="1773D602" w14:textId="033AA546" w:rsidR="00C53FC9" w:rsidRPr="00C53FC9" w:rsidRDefault="00C53FC9" w:rsidP="00164552">
            <w:pPr>
              <w:rPr>
                <w:rFonts w:ascii="Calibri" w:hAnsi="Calibri" w:cs="Calibri"/>
              </w:rPr>
            </w:pPr>
          </w:p>
        </w:tc>
        <w:tc>
          <w:tcPr>
            <w:tcW w:w="1728" w:type="dxa"/>
          </w:tcPr>
          <w:p w14:paraId="0B0BF48B" w14:textId="77777777" w:rsidR="0000231A" w:rsidRDefault="00C53FC9" w:rsidP="00164552">
            <w:pPr>
              <w:rPr>
                <w:rFonts w:ascii="Calibri" w:hAnsi="Calibri" w:cs="Calibri"/>
              </w:rPr>
            </w:pPr>
            <w:r w:rsidRPr="00C53FC9">
              <w:rPr>
                <w:rFonts w:ascii="Calibri" w:hAnsi="Calibri" w:cs="Calibri"/>
              </w:rPr>
              <w:t>Balanced shortlists for senior roles</w:t>
            </w:r>
          </w:p>
          <w:p w14:paraId="7B91E565" w14:textId="77777777" w:rsidR="0000231A" w:rsidRDefault="0000231A" w:rsidP="00164552">
            <w:pPr>
              <w:rPr>
                <w:rFonts w:ascii="Calibri" w:hAnsi="Calibri" w:cs="Calibri"/>
              </w:rPr>
            </w:pPr>
          </w:p>
          <w:p w14:paraId="168EA0CF" w14:textId="77777777" w:rsidR="00C53FC9" w:rsidRDefault="00C53FC9" w:rsidP="00164552">
            <w:pPr>
              <w:rPr>
                <w:rFonts w:ascii="Calibri" w:hAnsi="Calibri" w:cs="Calibri"/>
              </w:rPr>
            </w:pPr>
            <w:r w:rsidRPr="00C53FC9">
              <w:rPr>
                <w:rFonts w:ascii="Calibri" w:hAnsi="Calibri" w:cs="Calibri"/>
              </w:rPr>
              <w:t>Increased female representation at Bands 8c and above</w:t>
            </w:r>
          </w:p>
          <w:p w14:paraId="51E5CBD7" w14:textId="271A41FD" w:rsidR="0000231A" w:rsidRPr="00C53FC9" w:rsidRDefault="0000231A" w:rsidP="00164552">
            <w:pPr>
              <w:rPr>
                <w:rFonts w:ascii="Calibri" w:hAnsi="Calibri" w:cs="Calibri"/>
              </w:rPr>
            </w:pPr>
          </w:p>
        </w:tc>
      </w:tr>
      <w:tr w:rsidR="00C53FC9" w:rsidRPr="00C53FC9" w14:paraId="25CD6ED4" w14:textId="77777777" w:rsidTr="00F9640B">
        <w:tc>
          <w:tcPr>
            <w:tcW w:w="1728" w:type="dxa"/>
            <w:shd w:val="clear" w:color="auto" w:fill="156082" w:themeFill="accent1"/>
          </w:tcPr>
          <w:p w14:paraId="137E8FCE"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Career Development and Talent Pipeline</w:t>
            </w:r>
          </w:p>
        </w:tc>
        <w:tc>
          <w:tcPr>
            <w:tcW w:w="1728" w:type="dxa"/>
          </w:tcPr>
          <w:p w14:paraId="795F9797" w14:textId="77777777" w:rsidR="00C53FC9" w:rsidRPr="00C53FC9" w:rsidRDefault="00C53FC9" w:rsidP="00164552">
            <w:pPr>
              <w:rPr>
                <w:rFonts w:ascii="Calibri" w:hAnsi="Calibri" w:cs="Calibri"/>
              </w:rPr>
            </w:pPr>
            <w:r w:rsidRPr="00C53FC9">
              <w:rPr>
                <w:rFonts w:ascii="Calibri" w:hAnsi="Calibri" w:cs="Calibri"/>
              </w:rPr>
              <w:t>Develop targeted talent development programmes and leadership pathways for women.</w:t>
            </w:r>
          </w:p>
        </w:tc>
        <w:tc>
          <w:tcPr>
            <w:tcW w:w="1718" w:type="dxa"/>
          </w:tcPr>
          <w:p w14:paraId="6347802D" w14:textId="77777777" w:rsidR="00C53FC9" w:rsidRPr="00C53FC9" w:rsidRDefault="00C53FC9" w:rsidP="00164552">
            <w:pPr>
              <w:rPr>
                <w:rFonts w:ascii="Calibri" w:hAnsi="Calibri" w:cs="Calibri"/>
              </w:rPr>
            </w:pPr>
            <w:r w:rsidRPr="00C53FC9">
              <w:rPr>
                <w:rFonts w:ascii="Calibri" w:hAnsi="Calibri" w:cs="Calibri"/>
              </w:rPr>
              <w:t>Learning &amp; Development / EDI Lead</w:t>
            </w:r>
          </w:p>
        </w:tc>
        <w:tc>
          <w:tcPr>
            <w:tcW w:w="2097" w:type="dxa"/>
          </w:tcPr>
          <w:p w14:paraId="25C398B9" w14:textId="305D7405" w:rsidR="00596C59" w:rsidRPr="0003058D" w:rsidRDefault="00C53FC9" w:rsidP="00164552">
            <w:pPr>
              <w:rPr>
                <w:rFonts w:ascii="Calibri" w:hAnsi="Calibri" w:cs="Calibri"/>
              </w:rPr>
            </w:pPr>
            <w:r w:rsidRPr="0003058D">
              <w:rPr>
                <w:rFonts w:ascii="Calibri" w:hAnsi="Calibri" w:cs="Calibri"/>
              </w:rPr>
              <w:t>Q3 2025</w:t>
            </w:r>
            <w:r w:rsidR="00596C59" w:rsidRPr="0003058D">
              <w:rPr>
                <w:rFonts w:ascii="Calibri" w:hAnsi="Calibri" w:cs="Calibri"/>
              </w:rPr>
              <w:t xml:space="preserve">/26: </w:t>
            </w:r>
            <w:r w:rsidR="0003058D" w:rsidRPr="0003058D">
              <w:rPr>
                <w:rFonts w:ascii="Calibri" w:hAnsi="Calibri" w:cs="Calibri"/>
              </w:rPr>
              <w:t xml:space="preserve"> Develop a structured programme combining leadership skills training, mentorship, and career development workshops ready to pilot Q</w:t>
            </w:r>
            <w:r w:rsidR="00775445">
              <w:rPr>
                <w:rFonts w:ascii="Calibri" w:hAnsi="Calibri" w:cs="Calibri"/>
              </w:rPr>
              <w:t>4</w:t>
            </w:r>
            <w:r w:rsidR="0003058D" w:rsidRPr="0003058D">
              <w:rPr>
                <w:rFonts w:ascii="Calibri" w:hAnsi="Calibri" w:cs="Calibri"/>
              </w:rPr>
              <w:t xml:space="preserve"> 2025/26</w:t>
            </w:r>
          </w:p>
          <w:p w14:paraId="0EE496D6" w14:textId="77777777" w:rsidR="00596C59" w:rsidRDefault="00596C59" w:rsidP="00164552">
            <w:pPr>
              <w:rPr>
                <w:rFonts w:ascii="Calibri" w:hAnsi="Calibri" w:cs="Calibri"/>
              </w:rPr>
            </w:pPr>
          </w:p>
          <w:p w14:paraId="32EDCDFE" w14:textId="71DF1D3B" w:rsidR="00C53FC9" w:rsidRDefault="00C53FC9" w:rsidP="00164552">
            <w:pPr>
              <w:rPr>
                <w:rFonts w:ascii="Calibri" w:hAnsi="Calibri" w:cs="Calibri"/>
              </w:rPr>
            </w:pPr>
            <w:r w:rsidRPr="00C53FC9">
              <w:rPr>
                <w:rFonts w:ascii="Calibri" w:hAnsi="Calibri" w:cs="Calibri"/>
              </w:rPr>
              <w:lastRenderedPageBreak/>
              <w:t>Q1 2026</w:t>
            </w:r>
            <w:r w:rsidR="00775445">
              <w:rPr>
                <w:rFonts w:ascii="Calibri" w:hAnsi="Calibri" w:cs="Calibri"/>
              </w:rPr>
              <w:t xml:space="preserve">/27: launch development </w:t>
            </w:r>
            <w:r w:rsidR="00A545B9">
              <w:rPr>
                <w:rFonts w:ascii="Calibri" w:hAnsi="Calibri" w:cs="Calibri"/>
              </w:rPr>
              <w:t>programmes</w:t>
            </w:r>
          </w:p>
          <w:p w14:paraId="490D3628" w14:textId="6974F4E6" w:rsidR="00775445" w:rsidRPr="00C53FC9" w:rsidRDefault="00775445" w:rsidP="00164552">
            <w:pPr>
              <w:rPr>
                <w:rFonts w:ascii="Calibri" w:hAnsi="Calibri" w:cs="Calibri"/>
              </w:rPr>
            </w:pPr>
          </w:p>
        </w:tc>
        <w:tc>
          <w:tcPr>
            <w:tcW w:w="1728" w:type="dxa"/>
          </w:tcPr>
          <w:p w14:paraId="091B3D31" w14:textId="77777777" w:rsidR="00775445" w:rsidRDefault="00C53FC9" w:rsidP="00164552">
            <w:pPr>
              <w:rPr>
                <w:rFonts w:ascii="Calibri" w:hAnsi="Calibri" w:cs="Calibri"/>
              </w:rPr>
            </w:pPr>
            <w:r w:rsidRPr="00C53FC9">
              <w:rPr>
                <w:rFonts w:ascii="Calibri" w:hAnsi="Calibri" w:cs="Calibri"/>
              </w:rPr>
              <w:lastRenderedPageBreak/>
              <w:t>Uptake and completion of development programmes</w:t>
            </w:r>
          </w:p>
          <w:p w14:paraId="308FD7EA" w14:textId="77777777" w:rsidR="00775445" w:rsidRDefault="00775445" w:rsidP="00164552">
            <w:pPr>
              <w:rPr>
                <w:rFonts w:ascii="Calibri" w:hAnsi="Calibri" w:cs="Calibri"/>
              </w:rPr>
            </w:pPr>
          </w:p>
          <w:p w14:paraId="1AE38762" w14:textId="195AFA76" w:rsidR="00C53FC9" w:rsidRPr="00C53FC9" w:rsidRDefault="00C53FC9" w:rsidP="00164552">
            <w:pPr>
              <w:rPr>
                <w:rFonts w:ascii="Calibri" w:hAnsi="Calibri" w:cs="Calibri"/>
              </w:rPr>
            </w:pPr>
            <w:r w:rsidRPr="00C53FC9">
              <w:rPr>
                <w:rFonts w:ascii="Calibri" w:hAnsi="Calibri" w:cs="Calibri"/>
              </w:rPr>
              <w:t>Improved internal progression rates for women</w:t>
            </w:r>
          </w:p>
        </w:tc>
      </w:tr>
      <w:tr w:rsidR="00C53FC9" w:rsidRPr="00C53FC9" w14:paraId="38F9020A" w14:textId="77777777" w:rsidTr="00F9640B">
        <w:tc>
          <w:tcPr>
            <w:tcW w:w="1728" w:type="dxa"/>
            <w:shd w:val="clear" w:color="auto" w:fill="156082" w:themeFill="accent1"/>
          </w:tcPr>
          <w:p w14:paraId="552185A5"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Flexible Working and Role Design</w:t>
            </w:r>
          </w:p>
        </w:tc>
        <w:tc>
          <w:tcPr>
            <w:tcW w:w="1728" w:type="dxa"/>
          </w:tcPr>
          <w:p w14:paraId="7284223F" w14:textId="77777777" w:rsidR="00C53FC9" w:rsidRDefault="00C53FC9" w:rsidP="00164552">
            <w:pPr>
              <w:rPr>
                <w:rFonts w:ascii="Calibri" w:hAnsi="Calibri" w:cs="Calibri"/>
              </w:rPr>
            </w:pPr>
            <w:r w:rsidRPr="00C53FC9">
              <w:rPr>
                <w:rFonts w:ascii="Calibri" w:hAnsi="Calibri" w:cs="Calibri"/>
              </w:rPr>
              <w:t>Promote and normalise flexible and part-time working across all levels, including senior roles.</w:t>
            </w:r>
          </w:p>
          <w:p w14:paraId="0210E17D" w14:textId="77777777" w:rsidR="00A545B9" w:rsidRPr="00C53FC9" w:rsidRDefault="00A545B9" w:rsidP="00164552">
            <w:pPr>
              <w:rPr>
                <w:rFonts w:ascii="Calibri" w:hAnsi="Calibri" w:cs="Calibri"/>
              </w:rPr>
            </w:pPr>
          </w:p>
        </w:tc>
        <w:tc>
          <w:tcPr>
            <w:tcW w:w="1718" w:type="dxa"/>
          </w:tcPr>
          <w:p w14:paraId="5CA72404" w14:textId="77777777" w:rsidR="00C53FC9" w:rsidRPr="00C53FC9" w:rsidRDefault="00C53FC9" w:rsidP="00164552">
            <w:pPr>
              <w:rPr>
                <w:rFonts w:ascii="Calibri" w:hAnsi="Calibri" w:cs="Calibri"/>
              </w:rPr>
            </w:pPr>
            <w:r w:rsidRPr="00C53FC9">
              <w:rPr>
                <w:rFonts w:ascii="Calibri" w:hAnsi="Calibri" w:cs="Calibri"/>
              </w:rPr>
              <w:t>HR Policy Team / Line Managers</w:t>
            </w:r>
          </w:p>
        </w:tc>
        <w:tc>
          <w:tcPr>
            <w:tcW w:w="2097" w:type="dxa"/>
          </w:tcPr>
          <w:p w14:paraId="131DA2B9" w14:textId="3B0019BC" w:rsidR="00C53FC9" w:rsidRPr="00C53FC9" w:rsidRDefault="00C53FC9" w:rsidP="00164552">
            <w:pPr>
              <w:rPr>
                <w:rFonts w:ascii="Calibri" w:hAnsi="Calibri" w:cs="Calibri"/>
              </w:rPr>
            </w:pPr>
            <w:r w:rsidRPr="00C53FC9">
              <w:rPr>
                <w:rFonts w:ascii="Calibri" w:hAnsi="Calibri" w:cs="Calibri"/>
              </w:rPr>
              <w:t>Policy refresh and manager training by Q4 2025</w:t>
            </w:r>
            <w:r w:rsidR="00202751">
              <w:rPr>
                <w:rFonts w:ascii="Calibri" w:hAnsi="Calibri" w:cs="Calibri"/>
              </w:rPr>
              <w:t>/26</w:t>
            </w:r>
          </w:p>
        </w:tc>
        <w:tc>
          <w:tcPr>
            <w:tcW w:w="1728" w:type="dxa"/>
          </w:tcPr>
          <w:p w14:paraId="2F4D5892" w14:textId="77777777" w:rsidR="00D01BFC" w:rsidRDefault="00C53FC9" w:rsidP="00164552">
            <w:pPr>
              <w:rPr>
                <w:rFonts w:ascii="Calibri" w:hAnsi="Calibri" w:cs="Calibri"/>
              </w:rPr>
            </w:pPr>
            <w:r w:rsidRPr="00C53FC9">
              <w:rPr>
                <w:rFonts w:ascii="Calibri" w:hAnsi="Calibri" w:cs="Calibri"/>
              </w:rPr>
              <w:t>Increase in part-time/flexible working at senior levels</w:t>
            </w:r>
          </w:p>
          <w:p w14:paraId="0A9B5EF2" w14:textId="77777777" w:rsidR="00D01BFC" w:rsidRDefault="00D01BFC" w:rsidP="00164552">
            <w:pPr>
              <w:rPr>
                <w:rFonts w:ascii="Calibri" w:hAnsi="Calibri" w:cs="Calibri"/>
              </w:rPr>
            </w:pPr>
          </w:p>
          <w:p w14:paraId="60604DB0" w14:textId="77777777" w:rsidR="00C53FC9" w:rsidRDefault="00C53FC9" w:rsidP="00164552">
            <w:pPr>
              <w:rPr>
                <w:rFonts w:ascii="Calibri" w:hAnsi="Calibri" w:cs="Calibri"/>
              </w:rPr>
            </w:pPr>
            <w:r w:rsidRPr="00C53FC9">
              <w:rPr>
                <w:rFonts w:ascii="Calibri" w:hAnsi="Calibri" w:cs="Calibri"/>
              </w:rPr>
              <w:t xml:space="preserve">Uptake by both </w:t>
            </w:r>
            <w:r w:rsidR="00D01BFC">
              <w:rPr>
                <w:rFonts w:ascii="Calibri" w:hAnsi="Calibri" w:cs="Calibri"/>
              </w:rPr>
              <w:t>male</w:t>
            </w:r>
            <w:r w:rsidRPr="00C53FC9">
              <w:rPr>
                <w:rFonts w:ascii="Calibri" w:hAnsi="Calibri" w:cs="Calibri"/>
              </w:rPr>
              <w:t xml:space="preserve"> and </w:t>
            </w:r>
            <w:r w:rsidR="00D01BFC">
              <w:rPr>
                <w:rFonts w:ascii="Calibri" w:hAnsi="Calibri" w:cs="Calibri"/>
              </w:rPr>
              <w:t>female employees</w:t>
            </w:r>
          </w:p>
          <w:p w14:paraId="72F84196" w14:textId="4BDE18B6" w:rsidR="00D01BFC" w:rsidRPr="00C53FC9" w:rsidRDefault="00D01BFC" w:rsidP="00164552">
            <w:pPr>
              <w:rPr>
                <w:rFonts w:ascii="Calibri" w:hAnsi="Calibri" w:cs="Calibri"/>
              </w:rPr>
            </w:pPr>
          </w:p>
        </w:tc>
      </w:tr>
      <w:tr w:rsidR="00C53FC9" w:rsidRPr="00C53FC9" w14:paraId="20785711" w14:textId="77777777" w:rsidTr="00F9640B">
        <w:tc>
          <w:tcPr>
            <w:tcW w:w="1728" w:type="dxa"/>
            <w:shd w:val="clear" w:color="auto" w:fill="156082" w:themeFill="accent1"/>
          </w:tcPr>
          <w:p w14:paraId="79265689" w14:textId="77777777" w:rsidR="00C53FC9" w:rsidRPr="00C53FC9" w:rsidRDefault="00C53FC9" w:rsidP="00164552">
            <w:pPr>
              <w:rPr>
                <w:rFonts w:ascii="Calibri" w:hAnsi="Calibri" w:cs="Calibri"/>
                <w:color w:val="FFFFFF" w:themeColor="background1"/>
              </w:rPr>
            </w:pPr>
            <w:r w:rsidRPr="00C53FC9">
              <w:rPr>
                <w:rFonts w:ascii="Calibri" w:hAnsi="Calibri" w:cs="Calibri"/>
                <w:color w:val="FFFFFF" w:themeColor="background1"/>
              </w:rPr>
              <w:t>Engagement and Communication</w:t>
            </w:r>
          </w:p>
        </w:tc>
        <w:tc>
          <w:tcPr>
            <w:tcW w:w="1728" w:type="dxa"/>
          </w:tcPr>
          <w:p w14:paraId="79C69BBF" w14:textId="673E5E92" w:rsidR="00C53FC9" w:rsidRDefault="00C53FC9" w:rsidP="00164552">
            <w:pPr>
              <w:rPr>
                <w:rFonts w:ascii="Calibri" w:hAnsi="Calibri" w:cs="Calibri"/>
              </w:rPr>
            </w:pPr>
            <w:r w:rsidRPr="00C53FC9">
              <w:rPr>
                <w:rFonts w:ascii="Calibri" w:hAnsi="Calibri" w:cs="Calibri"/>
              </w:rPr>
              <w:t>Communicate progress and challenges transparently</w:t>
            </w:r>
            <w:r w:rsidR="00C35F6F">
              <w:rPr>
                <w:rFonts w:ascii="Calibri" w:hAnsi="Calibri" w:cs="Calibri"/>
              </w:rPr>
              <w:t xml:space="preserve"> and</w:t>
            </w:r>
            <w:r w:rsidRPr="00C53FC9">
              <w:rPr>
                <w:rFonts w:ascii="Calibri" w:hAnsi="Calibri" w:cs="Calibri"/>
              </w:rPr>
              <w:t xml:space="preserve"> engage staff networks and unions.</w:t>
            </w:r>
          </w:p>
          <w:p w14:paraId="4ED2C9A5" w14:textId="77777777" w:rsidR="00F9640B" w:rsidRPr="00C53FC9" w:rsidRDefault="00F9640B" w:rsidP="00164552">
            <w:pPr>
              <w:rPr>
                <w:rFonts w:ascii="Calibri" w:hAnsi="Calibri" w:cs="Calibri"/>
              </w:rPr>
            </w:pPr>
          </w:p>
        </w:tc>
        <w:tc>
          <w:tcPr>
            <w:tcW w:w="1718" w:type="dxa"/>
          </w:tcPr>
          <w:p w14:paraId="078E8CCC" w14:textId="77777777" w:rsidR="00C53FC9" w:rsidRPr="00C53FC9" w:rsidRDefault="00C53FC9" w:rsidP="00164552">
            <w:pPr>
              <w:rPr>
                <w:rFonts w:ascii="Calibri" w:hAnsi="Calibri" w:cs="Calibri"/>
              </w:rPr>
            </w:pPr>
            <w:r w:rsidRPr="00C53FC9">
              <w:rPr>
                <w:rFonts w:ascii="Calibri" w:hAnsi="Calibri" w:cs="Calibri"/>
              </w:rPr>
              <w:t>Communications and EDI Teams</w:t>
            </w:r>
          </w:p>
        </w:tc>
        <w:tc>
          <w:tcPr>
            <w:tcW w:w="2097" w:type="dxa"/>
          </w:tcPr>
          <w:p w14:paraId="02BC1706" w14:textId="66D856EF" w:rsidR="00C53FC9" w:rsidRPr="00C53FC9" w:rsidRDefault="00C53FC9" w:rsidP="00164552">
            <w:pPr>
              <w:rPr>
                <w:rFonts w:ascii="Calibri" w:hAnsi="Calibri" w:cs="Calibri"/>
              </w:rPr>
            </w:pPr>
            <w:r w:rsidRPr="00C53FC9">
              <w:rPr>
                <w:rFonts w:ascii="Calibri" w:hAnsi="Calibri" w:cs="Calibri"/>
              </w:rPr>
              <w:t>Quarterly updates</w:t>
            </w:r>
            <w:r w:rsidR="00C35F6F">
              <w:rPr>
                <w:rFonts w:ascii="Calibri" w:hAnsi="Calibri" w:cs="Calibri"/>
              </w:rPr>
              <w:t xml:space="preserve"> and</w:t>
            </w:r>
            <w:r w:rsidRPr="00C53FC9">
              <w:rPr>
                <w:rFonts w:ascii="Calibri" w:hAnsi="Calibri" w:cs="Calibri"/>
              </w:rPr>
              <w:t xml:space="preserve"> </w:t>
            </w:r>
            <w:r w:rsidR="00C35F6F">
              <w:rPr>
                <w:rFonts w:ascii="Calibri" w:hAnsi="Calibri" w:cs="Calibri"/>
              </w:rPr>
              <w:t>a</w:t>
            </w:r>
            <w:r w:rsidRPr="00C53FC9">
              <w:rPr>
                <w:rFonts w:ascii="Calibri" w:hAnsi="Calibri" w:cs="Calibri"/>
              </w:rPr>
              <w:t>nnual engagement sessions</w:t>
            </w:r>
          </w:p>
        </w:tc>
        <w:tc>
          <w:tcPr>
            <w:tcW w:w="1728" w:type="dxa"/>
          </w:tcPr>
          <w:p w14:paraId="69A760AB" w14:textId="77777777" w:rsidR="00C35F6F" w:rsidRDefault="00C53FC9" w:rsidP="00164552">
            <w:pPr>
              <w:rPr>
                <w:rFonts w:ascii="Calibri" w:hAnsi="Calibri" w:cs="Calibri"/>
              </w:rPr>
            </w:pPr>
            <w:r w:rsidRPr="00C53FC9">
              <w:rPr>
                <w:rFonts w:ascii="Calibri" w:hAnsi="Calibri" w:cs="Calibri"/>
              </w:rPr>
              <w:t>Improved survey results</w:t>
            </w:r>
          </w:p>
          <w:p w14:paraId="5A066381" w14:textId="77777777" w:rsidR="00C35F6F" w:rsidRDefault="00C35F6F" w:rsidP="00164552">
            <w:pPr>
              <w:rPr>
                <w:rFonts w:ascii="Calibri" w:hAnsi="Calibri" w:cs="Calibri"/>
              </w:rPr>
            </w:pPr>
          </w:p>
          <w:p w14:paraId="04CBFB67" w14:textId="55347F59" w:rsidR="00C53FC9" w:rsidRPr="00C53FC9" w:rsidRDefault="00C53FC9" w:rsidP="00164552">
            <w:pPr>
              <w:rPr>
                <w:rFonts w:ascii="Calibri" w:hAnsi="Calibri" w:cs="Calibri"/>
              </w:rPr>
            </w:pPr>
            <w:r w:rsidRPr="00C53FC9">
              <w:rPr>
                <w:rFonts w:ascii="Calibri" w:hAnsi="Calibri" w:cs="Calibri"/>
              </w:rPr>
              <w:t>Active participation from staff networks</w:t>
            </w:r>
          </w:p>
        </w:tc>
      </w:tr>
      <w:bookmarkEnd w:id="9"/>
    </w:tbl>
    <w:p w14:paraId="2053A463" w14:textId="77777777" w:rsidR="001946AB" w:rsidRPr="00C53FC9" w:rsidRDefault="001946AB" w:rsidP="006B7A2D">
      <w:pPr>
        <w:jc w:val="both"/>
        <w:rPr>
          <w:rFonts w:ascii="Calibri" w:hAnsi="Calibri" w:cs="Calibri"/>
        </w:rPr>
      </w:pPr>
    </w:p>
    <w:sectPr w:rsidR="001946AB" w:rsidRPr="00C53FC9" w:rsidSect="009F5C91">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D55"/>
    <w:multiLevelType w:val="hybridMultilevel"/>
    <w:tmpl w:val="E3724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1BC4"/>
    <w:multiLevelType w:val="hybridMultilevel"/>
    <w:tmpl w:val="BCACA8A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CE5F05"/>
    <w:multiLevelType w:val="multilevel"/>
    <w:tmpl w:val="064610D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F9038B"/>
    <w:multiLevelType w:val="multilevel"/>
    <w:tmpl w:val="2C5C5558"/>
    <w:lvl w:ilvl="0">
      <w:start w:val="4"/>
      <w:numFmt w:val="decimal"/>
      <w:lvlText w:val="%1"/>
      <w:lvlJc w:val="left"/>
      <w:pPr>
        <w:ind w:left="375" w:hanging="3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4" w15:restartNumberingAfterBreak="0">
    <w:nsid w:val="22357F55"/>
    <w:multiLevelType w:val="multilevel"/>
    <w:tmpl w:val="064610D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485682"/>
    <w:multiLevelType w:val="hybridMultilevel"/>
    <w:tmpl w:val="F3547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52A27"/>
    <w:multiLevelType w:val="hybridMultilevel"/>
    <w:tmpl w:val="C3E48B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B51CBA"/>
    <w:multiLevelType w:val="hybridMultilevel"/>
    <w:tmpl w:val="70CCB86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73413E"/>
    <w:multiLevelType w:val="hybridMultilevel"/>
    <w:tmpl w:val="344CA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F2106"/>
    <w:multiLevelType w:val="hybridMultilevel"/>
    <w:tmpl w:val="1FDEF4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F7360C"/>
    <w:multiLevelType w:val="hybridMultilevel"/>
    <w:tmpl w:val="67687678"/>
    <w:lvl w:ilvl="0" w:tplc="AE3816CA">
      <w:start w:val="1"/>
      <w:numFmt w:val="decimal"/>
      <w:lvlText w:val="4.%1"/>
      <w:lvlJc w:val="center"/>
      <w:pPr>
        <w:ind w:left="360" w:hanging="360"/>
      </w:pPr>
      <w:rPr>
        <w:rFonts w:ascii="Calibri" w:hAnsi="Calibri" w:hint="default"/>
        <w:b w:val="0"/>
        <w:bCs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5486497">
    <w:abstractNumId w:val="5"/>
  </w:num>
  <w:num w:numId="2" w16cid:durableId="2108885152">
    <w:abstractNumId w:val="0"/>
  </w:num>
  <w:num w:numId="3" w16cid:durableId="1071272311">
    <w:abstractNumId w:val="2"/>
  </w:num>
  <w:num w:numId="4" w16cid:durableId="367730018">
    <w:abstractNumId w:val="10"/>
  </w:num>
  <w:num w:numId="5" w16cid:durableId="1193691388">
    <w:abstractNumId w:val="4"/>
  </w:num>
  <w:num w:numId="6" w16cid:durableId="1342009429">
    <w:abstractNumId w:val="3"/>
  </w:num>
  <w:num w:numId="7" w16cid:durableId="1783500178">
    <w:abstractNumId w:val="8"/>
  </w:num>
  <w:num w:numId="8" w16cid:durableId="1908032206">
    <w:abstractNumId w:val="6"/>
  </w:num>
  <w:num w:numId="9" w16cid:durableId="1330523265">
    <w:abstractNumId w:val="1"/>
  </w:num>
  <w:num w:numId="10" w16cid:durableId="877668643">
    <w:abstractNumId w:val="7"/>
  </w:num>
  <w:num w:numId="11" w16cid:durableId="1845247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8B"/>
    <w:rsid w:val="000009F5"/>
    <w:rsid w:val="0000231A"/>
    <w:rsid w:val="00014FAB"/>
    <w:rsid w:val="0003058D"/>
    <w:rsid w:val="00033E4A"/>
    <w:rsid w:val="00053E2A"/>
    <w:rsid w:val="00061695"/>
    <w:rsid w:val="00094475"/>
    <w:rsid w:val="000A4FB6"/>
    <w:rsid w:val="000A69E2"/>
    <w:rsid w:val="000B0AD4"/>
    <w:rsid w:val="00122D4A"/>
    <w:rsid w:val="00133084"/>
    <w:rsid w:val="00164552"/>
    <w:rsid w:val="00175F2B"/>
    <w:rsid w:val="001946AB"/>
    <w:rsid w:val="00194801"/>
    <w:rsid w:val="001B0833"/>
    <w:rsid w:val="001E2F9C"/>
    <w:rsid w:val="001E4633"/>
    <w:rsid w:val="00201D2B"/>
    <w:rsid w:val="00202751"/>
    <w:rsid w:val="002104AB"/>
    <w:rsid w:val="002303AB"/>
    <w:rsid w:val="00232445"/>
    <w:rsid w:val="00234A76"/>
    <w:rsid w:val="00240CC4"/>
    <w:rsid w:val="00247DD4"/>
    <w:rsid w:val="00253637"/>
    <w:rsid w:val="002612B4"/>
    <w:rsid w:val="00262F33"/>
    <w:rsid w:val="00287467"/>
    <w:rsid w:val="002A0619"/>
    <w:rsid w:val="002A5FC3"/>
    <w:rsid w:val="002B56EB"/>
    <w:rsid w:val="002B769A"/>
    <w:rsid w:val="002C574E"/>
    <w:rsid w:val="002E6E36"/>
    <w:rsid w:val="003065D0"/>
    <w:rsid w:val="00306FCE"/>
    <w:rsid w:val="00313909"/>
    <w:rsid w:val="00323C75"/>
    <w:rsid w:val="00374081"/>
    <w:rsid w:val="0037750E"/>
    <w:rsid w:val="00382E9D"/>
    <w:rsid w:val="00393B00"/>
    <w:rsid w:val="003A141B"/>
    <w:rsid w:val="003A6501"/>
    <w:rsid w:val="003D027F"/>
    <w:rsid w:val="003D2233"/>
    <w:rsid w:val="004161D1"/>
    <w:rsid w:val="00451166"/>
    <w:rsid w:val="004611D3"/>
    <w:rsid w:val="00466A46"/>
    <w:rsid w:val="004C1140"/>
    <w:rsid w:val="004C3947"/>
    <w:rsid w:val="004C63B7"/>
    <w:rsid w:val="004E12D4"/>
    <w:rsid w:val="0050309D"/>
    <w:rsid w:val="005123AD"/>
    <w:rsid w:val="0052670B"/>
    <w:rsid w:val="005279A2"/>
    <w:rsid w:val="0054043A"/>
    <w:rsid w:val="0055549D"/>
    <w:rsid w:val="005576BB"/>
    <w:rsid w:val="00571B52"/>
    <w:rsid w:val="00596C59"/>
    <w:rsid w:val="005B3AB4"/>
    <w:rsid w:val="005C1043"/>
    <w:rsid w:val="00655A41"/>
    <w:rsid w:val="00656249"/>
    <w:rsid w:val="006B0996"/>
    <w:rsid w:val="006B7A2D"/>
    <w:rsid w:val="006C4CBB"/>
    <w:rsid w:val="006C66FE"/>
    <w:rsid w:val="006C7AF5"/>
    <w:rsid w:val="006F3B92"/>
    <w:rsid w:val="00701A4A"/>
    <w:rsid w:val="00701CE1"/>
    <w:rsid w:val="007144A7"/>
    <w:rsid w:val="00723AA1"/>
    <w:rsid w:val="00740069"/>
    <w:rsid w:val="00744F94"/>
    <w:rsid w:val="007617D2"/>
    <w:rsid w:val="00775445"/>
    <w:rsid w:val="007A362E"/>
    <w:rsid w:val="007B0DE2"/>
    <w:rsid w:val="007B470A"/>
    <w:rsid w:val="007B6588"/>
    <w:rsid w:val="007C749E"/>
    <w:rsid w:val="007D1B6F"/>
    <w:rsid w:val="007D610C"/>
    <w:rsid w:val="007D6652"/>
    <w:rsid w:val="007E0CCA"/>
    <w:rsid w:val="007F1E13"/>
    <w:rsid w:val="007F338B"/>
    <w:rsid w:val="0080435A"/>
    <w:rsid w:val="00827D2E"/>
    <w:rsid w:val="00845E48"/>
    <w:rsid w:val="008558A3"/>
    <w:rsid w:val="008627B9"/>
    <w:rsid w:val="008C054D"/>
    <w:rsid w:val="008E0A85"/>
    <w:rsid w:val="008F4200"/>
    <w:rsid w:val="00902523"/>
    <w:rsid w:val="009044EC"/>
    <w:rsid w:val="00905EF0"/>
    <w:rsid w:val="00911C3C"/>
    <w:rsid w:val="009329F9"/>
    <w:rsid w:val="00961371"/>
    <w:rsid w:val="00962A3F"/>
    <w:rsid w:val="009746BD"/>
    <w:rsid w:val="009A0584"/>
    <w:rsid w:val="009B3729"/>
    <w:rsid w:val="009B645E"/>
    <w:rsid w:val="009C23F5"/>
    <w:rsid w:val="009E385F"/>
    <w:rsid w:val="009F149E"/>
    <w:rsid w:val="009F5C91"/>
    <w:rsid w:val="009F7698"/>
    <w:rsid w:val="00A10B3E"/>
    <w:rsid w:val="00A25E58"/>
    <w:rsid w:val="00A26C96"/>
    <w:rsid w:val="00A31DB3"/>
    <w:rsid w:val="00A37D29"/>
    <w:rsid w:val="00A40237"/>
    <w:rsid w:val="00A545B9"/>
    <w:rsid w:val="00A627E4"/>
    <w:rsid w:val="00A6758A"/>
    <w:rsid w:val="00AD1127"/>
    <w:rsid w:val="00AD614C"/>
    <w:rsid w:val="00AF1F6B"/>
    <w:rsid w:val="00B24946"/>
    <w:rsid w:val="00B42F48"/>
    <w:rsid w:val="00B52E46"/>
    <w:rsid w:val="00B93CD1"/>
    <w:rsid w:val="00BE33E4"/>
    <w:rsid w:val="00BF02A0"/>
    <w:rsid w:val="00C10911"/>
    <w:rsid w:val="00C2717B"/>
    <w:rsid w:val="00C35F6F"/>
    <w:rsid w:val="00C373A9"/>
    <w:rsid w:val="00C440BD"/>
    <w:rsid w:val="00C53FC9"/>
    <w:rsid w:val="00C739CB"/>
    <w:rsid w:val="00C7668A"/>
    <w:rsid w:val="00CA323D"/>
    <w:rsid w:val="00CB306A"/>
    <w:rsid w:val="00CC27DA"/>
    <w:rsid w:val="00CD69C6"/>
    <w:rsid w:val="00CD6EB2"/>
    <w:rsid w:val="00CE3E61"/>
    <w:rsid w:val="00CF0608"/>
    <w:rsid w:val="00D01BFC"/>
    <w:rsid w:val="00D117F1"/>
    <w:rsid w:val="00D229C9"/>
    <w:rsid w:val="00D33F39"/>
    <w:rsid w:val="00D34920"/>
    <w:rsid w:val="00D64859"/>
    <w:rsid w:val="00D718F9"/>
    <w:rsid w:val="00D777ED"/>
    <w:rsid w:val="00D83117"/>
    <w:rsid w:val="00DA4478"/>
    <w:rsid w:val="00DF2BDD"/>
    <w:rsid w:val="00E03D00"/>
    <w:rsid w:val="00E3236C"/>
    <w:rsid w:val="00E41643"/>
    <w:rsid w:val="00E827C7"/>
    <w:rsid w:val="00E82D79"/>
    <w:rsid w:val="00E917F7"/>
    <w:rsid w:val="00E9705B"/>
    <w:rsid w:val="00EE2A1A"/>
    <w:rsid w:val="00EF1DF3"/>
    <w:rsid w:val="00EF20F1"/>
    <w:rsid w:val="00F059D4"/>
    <w:rsid w:val="00F07D3E"/>
    <w:rsid w:val="00F14A6B"/>
    <w:rsid w:val="00F57390"/>
    <w:rsid w:val="00F57E9E"/>
    <w:rsid w:val="00F6286B"/>
    <w:rsid w:val="00F716BA"/>
    <w:rsid w:val="00F93738"/>
    <w:rsid w:val="00F9640B"/>
    <w:rsid w:val="00FC4443"/>
    <w:rsid w:val="00FD5AC4"/>
    <w:rsid w:val="00FE29B9"/>
    <w:rsid w:val="00FE2F14"/>
    <w:rsid w:val="00FF6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FA12"/>
  <w15:chartTrackingRefBased/>
  <w15:docId w15:val="{954FAF32-1CC1-4BC6-979E-DF995A29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3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3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3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3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8B"/>
    <w:rPr>
      <w:rFonts w:eastAsiaTheme="majorEastAsia" w:cstheme="majorBidi"/>
      <w:color w:val="272727" w:themeColor="text1" w:themeTint="D8"/>
    </w:rPr>
  </w:style>
  <w:style w:type="paragraph" w:styleId="Title">
    <w:name w:val="Title"/>
    <w:basedOn w:val="Normal"/>
    <w:next w:val="Normal"/>
    <w:link w:val="TitleChar"/>
    <w:uiPriority w:val="10"/>
    <w:qFormat/>
    <w:rsid w:val="007F3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8B"/>
    <w:pPr>
      <w:spacing w:before="160"/>
      <w:jc w:val="center"/>
    </w:pPr>
    <w:rPr>
      <w:i/>
      <w:iCs/>
      <w:color w:val="404040" w:themeColor="text1" w:themeTint="BF"/>
    </w:rPr>
  </w:style>
  <w:style w:type="character" w:customStyle="1" w:styleId="QuoteChar">
    <w:name w:val="Quote Char"/>
    <w:basedOn w:val="DefaultParagraphFont"/>
    <w:link w:val="Quote"/>
    <w:uiPriority w:val="29"/>
    <w:rsid w:val="007F338B"/>
    <w:rPr>
      <w:i/>
      <w:iCs/>
      <w:color w:val="404040" w:themeColor="text1" w:themeTint="BF"/>
    </w:rPr>
  </w:style>
  <w:style w:type="paragraph" w:styleId="ListParagraph">
    <w:name w:val="List Paragraph"/>
    <w:basedOn w:val="Normal"/>
    <w:uiPriority w:val="34"/>
    <w:qFormat/>
    <w:rsid w:val="007F338B"/>
    <w:pPr>
      <w:ind w:left="720"/>
      <w:contextualSpacing/>
    </w:pPr>
  </w:style>
  <w:style w:type="character" w:styleId="IntenseEmphasis">
    <w:name w:val="Intense Emphasis"/>
    <w:basedOn w:val="DefaultParagraphFont"/>
    <w:uiPriority w:val="21"/>
    <w:qFormat/>
    <w:rsid w:val="007F338B"/>
    <w:rPr>
      <w:i/>
      <w:iCs/>
      <w:color w:val="0F4761" w:themeColor="accent1" w:themeShade="BF"/>
    </w:rPr>
  </w:style>
  <w:style w:type="paragraph" w:styleId="IntenseQuote">
    <w:name w:val="Intense Quote"/>
    <w:basedOn w:val="Normal"/>
    <w:next w:val="Normal"/>
    <w:link w:val="IntenseQuoteChar"/>
    <w:uiPriority w:val="30"/>
    <w:qFormat/>
    <w:rsid w:val="007F3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8B"/>
    <w:rPr>
      <w:i/>
      <w:iCs/>
      <w:color w:val="0F4761" w:themeColor="accent1" w:themeShade="BF"/>
    </w:rPr>
  </w:style>
  <w:style w:type="character" w:styleId="IntenseReference">
    <w:name w:val="Intense Reference"/>
    <w:basedOn w:val="DefaultParagraphFont"/>
    <w:uiPriority w:val="32"/>
    <w:qFormat/>
    <w:rsid w:val="007F338B"/>
    <w:rPr>
      <w:b/>
      <w:bCs/>
      <w:smallCaps/>
      <w:color w:val="0F4761" w:themeColor="accent1" w:themeShade="BF"/>
      <w:spacing w:val="5"/>
    </w:rPr>
  </w:style>
  <w:style w:type="table" w:styleId="GridTable5Dark-Accent1">
    <w:name w:val="Grid Table 5 Dark Accent 1"/>
    <w:basedOn w:val="TableNormal"/>
    <w:uiPriority w:val="50"/>
    <w:rsid w:val="00A25E5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Grid">
    <w:name w:val="Table Grid"/>
    <w:basedOn w:val="TableNormal"/>
    <w:uiPriority w:val="59"/>
    <w:rsid w:val="004C6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12B4"/>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9044EC"/>
    <w:rPr>
      <w:sz w:val="16"/>
      <w:szCs w:val="16"/>
    </w:rPr>
  </w:style>
  <w:style w:type="paragraph" w:styleId="CommentText">
    <w:name w:val="annotation text"/>
    <w:basedOn w:val="Normal"/>
    <w:link w:val="CommentTextChar"/>
    <w:uiPriority w:val="99"/>
    <w:unhideWhenUsed/>
    <w:rsid w:val="009044EC"/>
    <w:pPr>
      <w:spacing w:line="240" w:lineRule="auto"/>
    </w:pPr>
    <w:rPr>
      <w:sz w:val="20"/>
      <w:szCs w:val="20"/>
    </w:rPr>
  </w:style>
  <w:style w:type="character" w:customStyle="1" w:styleId="CommentTextChar">
    <w:name w:val="Comment Text Char"/>
    <w:basedOn w:val="DefaultParagraphFont"/>
    <w:link w:val="CommentText"/>
    <w:uiPriority w:val="99"/>
    <w:rsid w:val="009044EC"/>
    <w:rPr>
      <w:sz w:val="20"/>
      <w:szCs w:val="20"/>
    </w:rPr>
  </w:style>
  <w:style w:type="paragraph" w:styleId="CommentSubject">
    <w:name w:val="annotation subject"/>
    <w:basedOn w:val="CommentText"/>
    <w:next w:val="CommentText"/>
    <w:link w:val="CommentSubjectChar"/>
    <w:uiPriority w:val="99"/>
    <w:semiHidden/>
    <w:unhideWhenUsed/>
    <w:rsid w:val="009044EC"/>
    <w:rPr>
      <w:b/>
      <w:bCs/>
    </w:rPr>
  </w:style>
  <w:style w:type="character" w:customStyle="1" w:styleId="CommentSubjectChar">
    <w:name w:val="Comment Subject Char"/>
    <w:basedOn w:val="CommentTextChar"/>
    <w:link w:val="CommentSubject"/>
    <w:uiPriority w:val="99"/>
    <w:semiHidden/>
    <w:rsid w:val="009044EC"/>
    <w:rPr>
      <w:b/>
      <w:bCs/>
      <w:sz w:val="20"/>
      <w:szCs w:val="20"/>
    </w:rPr>
  </w:style>
  <w:style w:type="paragraph" w:customStyle="1" w:styleId="Default">
    <w:name w:val="Default"/>
    <w:rsid w:val="00CD69C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link w:val="NoSpacingChar"/>
    <w:uiPriority w:val="1"/>
    <w:qFormat/>
    <w:rsid w:val="002E6E36"/>
    <w:pPr>
      <w:spacing w:after="0" w:line="240" w:lineRule="auto"/>
    </w:pPr>
  </w:style>
  <w:style w:type="character" w:styleId="Strong">
    <w:name w:val="Strong"/>
    <w:basedOn w:val="DefaultParagraphFont"/>
    <w:uiPriority w:val="22"/>
    <w:qFormat/>
    <w:rsid w:val="00962A3F"/>
    <w:rPr>
      <w:b/>
      <w:bCs/>
    </w:rPr>
  </w:style>
  <w:style w:type="character" w:customStyle="1" w:styleId="NoSpacingChar">
    <w:name w:val="No Spacing Char"/>
    <w:basedOn w:val="DefaultParagraphFont"/>
    <w:link w:val="NoSpacing"/>
    <w:uiPriority w:val="1"/>
    <w:rsid w:val="009F5C91"/>
  </w:style>
  <w:style w:type="paragraph" w:styleId="TOCHeading">
    <w:name w:val="TOC Heading"/>
    <w:basedOn w:val="Heading1"/>
    <w:next w:val="Normal"/>
    <w:uiPriority w:val="39"/>
    <w:unhideWhenUsed/>
    <w:qFormat/>
    <w:rsid w:val="00033E4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33E4A"/>
    <w:pPr>
      <w:spacing w:after="100"/>
    </w:pPr>
  </w:style>
  <w:style w:type="paragraph" w:styleId="TOC3">
    <w:name w:val="toc 3"/>
    <w:basedOn w:val="Normal"/>
    <w:next w:val="Normal"/>
    <w:autoRedefine/>
    <w:uiPriority w:val="39"/>
    <w:unhideWhenUsed/>
    <w:rsid w:val="00033E4A"/>
    <w:pPr>
      <w:spacing w:after="100"/>
      <w:ind w:left="440"/>
    </w:pPr>
  </w:style>
  <w:style w:type="character" w:styleId="Hyperlink">
    <w:name w:val="Hyperlink"/>
    <w:basedOn w:val="DefaultParagraphFont"/>
    <w:uiPriority w:val="99"/>
    <w:unhideWhenUsed/>
    <w:rsid w:val="00033E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ew.officeapps.live.com/op/view.aspx?src=https%3A%2F%2Fnotts.icb.nhs.uk%2Fwp-content%2Fuploads%2Fsites%2F2%2F2022%2F04%2FNottingham-and-Nottinghamshire-EDI-Action-Plan-2025_26-v1.docx&amp;wdOrigin=BROWSE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67DDC-0A79-45F8-AC75-63F766F1A6C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2550</Words>
  <Characters>13668</Characters>
  <Application>Microsoft Office Word</Application>
  <DocSecurity>0</DocSecurity>
  <Lines>683</Lines>
  <Paragraphs>415</Paragraphs>
  <ScaleCrop>false</ScaleCrop>
  <HeadingPairs>
    <vt:vector size="2" baseType="variant">
      <vt:variant>
        <vt:lpstr>Title</vt:lpstr>
      </vt:variant>
      <vt:variant>
        <vt:i4>1</vt:i4>
      </vt:variant>
    </vt:vector>
  </HeadingPairs>
  <TitlesOfParts>
    <vt:vector size="1" baseType="lpstr">
      <vt:lpstr>Gender Pay Gap Report</vt:lpstr>
    </vt:vector>
  </TitlesOfParts>
  <Company>NHS</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Pay Gap Report</dc:title>
  <dc:subject>NHS Nottingham and Nottinghamshire ICB</dc:subject>
  <dc:creator>RAI, Kiran (NHS ARDEN AND GREATER EAST MIDLANDS COMMISSIONING SUPPORT UNIT)</dc:creator>
  <cp:keywords/>
  <dc:description/>
  <cp:lastModifiedBy>YEMM, Dora (NHS NOTTINGHAM AND NOTTINGHAMSHIRE ICB - 52R)</cp:lastModifiedBy>
  <cp:revision>3</cp:revision>
  <dcterms:created xsi:type="dcterms:W3CDTF">2026-04-14T12:48:00Z</dcterms:created>
  <dcterms:modified xsi:type="dcterms:W3CDTF">2026-04-14T12:49:00Z</dcterms:modified>
</cp:coreProperties>
</file>