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0ADA5" w14:textId="44ACF4BC" w:rsidR="007E4B96" w:rsidRPr="00080D20" w:rsidRDefault="007E4B96">
      <w:pPr>
        <w:rPr>
          <w:b/>
          <w:sz w:val="32"/>
          <w:szCs w:val="32"/>
        </w:rPr>
      </w:pPr>
      <w:r w:rsidRPr="0075433B">
        <w:rPr>
          <w:b/>
        </w:rPr>
        <w:t xml:space="preserve"> </w:t>
      </w:r>
      <w:r w:rsidR="00BB7636">
        <w:rPr>
          <w:b/>
          <w:sz w:val="32"/>
          <w:szCs w:val="32"/>
        </w:rPr>
        <w:t>Risk Stratification Purposes</w:t>
      </w:r>
    </w:p>
    <w:tbl>
      <w:tblPr>
        <w:tblStyle w:val="TableGrid"/>
        <w:tblW w:w="0" w:type="auto"/>
        <w:tblLook w:val="04A0" w:firstRow="1" w:lastRow="0" w:firstColumn="1" w:lastColumn="0" w:noHBand="0" w:noVBand="1"/>
      </w:tblPr>
      <w:tblGrid>
        <w:gridCol w:w="2518"/>
        <w:gridCol w:w="6724"/>
      </w:tblGrid>
      <w:tr w:rsidR="007E4B96" w14:paraId="76DDEB7A" w14:textId="77777777" w:rsidTr="0075200D">
        <w:trPr>
          <w:trHeight w:val="2086"/>
        </w:trPr>
        <w:tc>
          <w:tcPr>
            <w:tcW w:w="2518" w:type="dxa"/>
          </w:tcPr>
          <w:p w14:paraId="2CF24346" w14:textId="77777777" w:rsidR="007E4B96" w:rsidRPr="00DA3EDA" w:rsidRDefault="00B0208A">
            <w:pPr>
              <w:rPr>
                <w:rFonts w:ascii="Arial" w:hAnsi="Arial" w:cs="Arial"/>
                <w:b/>
              </w:rPr>
            </w:pPr>
            <w:r w:rsidRPr="00DA3EDA">
              <w:rPr>
                <w:rFonts w:ascii="Arial" w:hAnsi="Arial" w:cs="Arial"/>
                <w:b/>
              </w:rPr>
              <w:t>Purpose</w:t>
            </w:r>
          </w:p>
          <w:p w14:paraId="650B8DF9" w14:textId="77777777" w:rsidR="00B0208A" w:rsidRPr="00DA3EDA" w:rsidRDefault="00B0208A">
            <w:pPr>
              <w:rPr>
                <w:rFonts w:ascii="Arial" w:hAnsi="Arial" w:cs="Arial"/>
                <w:b/>
              </w:rPr>
            </w:pPr>
          </w:p>
        </w:tc>
        <w:tc>
          <w:tcPr>
            <w:tcW w:w="6724" w:type="dxa"/>
          </w:tcPr>
          <w:p w14:paraId="573066A0" w14:textId="6D3BF1BF" w:rsidR="00080D20" w:rsidRPr="00080D20" w:rsidRDefault="00277D88" w:rsidP="00931DBE">
            <w:pPr>
              <w:spacing w:before="100" w:beforeAutospacing="1" w:after="100" w:afterAutospacing="1"/>
              <w:rPr>
                <w:rFonts w:ascii="Arial" w:eastAsia="Times New Roman" w:hAnsi="Arial" w:cs="Arial"/>
                <w:bCs/>
                <w:sz w:val="16"/>
                <w:szCs w:val="16"/>
                <w:lang w:eastAsia="en-GB"/>
              </w:rPr>
            </w:pPr>
            <w:r w:rsidRPr="00277D88">
              <w:rPr>
                <w:rFonts w:ascii="Arial" w:eastAsia="Times New Roman" w:hAnsi="Arial" w:cs="Arial"/>
                <w:bCs/>
                <w:lang w:eastAsia="en-GB"/>
              </w:rPr>
              <w:t xml:space="preserve">Risk stratification is a process for identifying and caring for patients with long term health conditions and patients who are at high risk of emergency hospital admission.  NHS England encourages </w:t>
            </w:r>
            <w:r w:rsidR="00F033A2">
              <w:rPr>
                <w:rFonts w:ascii="Arial" w:eastAsia="Times New Roman" w:hAnsi="Arial" w:cs="Arial"/>
                <w:bCs/>
                <w:lang w:eastAsia="en-GB"/>
              </w:rPr>
              <w:t>ICBs</w:t>
            </w:r>
            <w:r w:rsidRPr="00277D88">
              <w:rPr>
                <w:rFonts w:ascii="Arial" w:eastAsia="Times New Roman" w:hAnsi="Arial" w:cs="Arial"/>
                <w:bCs/>
                <w:lang w:eastAsia="en-GB"/>
              </w:rPr>
              <w:t xml:space="preserve"> and GPs to use risk stratification tools as part of their local strategies for supporting patients with long-term conditions, such as chronic obstructive pulmonary disease (COPD) and diabetes, to help prevent hospital admissions that could have been avoided.  As well as helping GP Practices to provide Direct Care support, risk stratification is used by the</w:t>
            </w:r>
            <w:r>
              <w:rPr>
                <w:rFonts w:ascii="Arial" w:eastAsia="Times New Roman" w:hAnsi="Arial" w:cs="Arial"/>
                <w:bCs/>
                <w:lang w:eastAsia="en-GB"/>
              </w:rPr>
              <w:t xml:space="preserve"> ICB</w:t>
            </w:r>
            <w:r w:rsidRPr="00277D88">
              <w:rPr>
                <w:rFonts w:ascii="Arial" w:eastAsia="Times New Roman" w:hAnsi="Arial" w:cs="Arial"/>
                <w:bCs/>
                <w:lang w:eastAsia="en-GB"/>
              </w:rPr>
              <w:t xml:space="preserve"> to support planning and commissioning, for example, understanding the numbers of patients in the region who require services to support COPD will enable us to commission the right services to better manage periods of ill health and to improve the quality of the services we are able to offer you.</w:t>
            </w:r>
          </w:p>
        </w:tc>
      </w:tr>
      <w:tr w:rsidR="007E4B96" w14:paraId="10D265B4" w14:textId="77777777" w:rsidTr="0075200D">
        <w:tc>
          <w:tcPr>
            <w:tcW w:w="2518" w:type="dxa"/>
          </w:tcPr>
          <w:p w14:paraId="3A9FA1FB" w14:textId="77777777" w:rsidR="007E4B96" w:rsidRPr="00DA3EDA" w:rsidRDefault="00B0208A">
            <w:pPr>
              <w:rPr>
                <w:rFonts w:ascii="Arial" w:hAnsi="Arial" w:cs="Arial"/>
                <w:b/>
              </w:rPr>
            </w:pPr>
            <w:r w:rsidRPr="00DA3EDA">
              <w:rPr>
                <w:rFonts w:ascii="Arial" w:hAnsi="Arial" w:cs="Arial"/>
                <w:b/>
              </w:rPr>
              <w:t>Type of Information</w:t>
            </w:r>
          </w:p>
          <w:p w14:paraId="1915DB00" w14:textId="77777777" w:rsidR="00B0208A" w:rsidRPr="00DA3EDA" w:rsidRDefault="00B0208A">
            <w:pPr>
              <w:rPr>
                <w:rFonts w:ascii="Arial" w:hAnsi="Arial" w:cs="Arial"/>
                <w:b/>
              </w:rPr>
            </w:pPr>
          </w:p>
          <w:p w14:paraId="767F470B" w14:textId="77777777" w:rsidR="00B0208A" w:rsidRPr="00DA3EDA" w:rsidRDefault="00B0208A">
            <w:pPr>
              <w:rPr>
                <w:rFonts w:ascii="Arial" w:hAnsi="Arial" w:cs="Arial"/>
                <w:b/>
              </w:rPr>
            </w:pPr>
          </w:p>
        </w:tc>
        <w:tc>
          <w:tcPr>
            <w:tcW w:w="6724" w:type="dxa"/>
          </w:tcPr>
          <w:p w14:paraId="3F8FFD51" w14:textId="726E8185" w:rsidR="00F033A2" w:rsidRDefault="00277D88" w:rsidP="003E3340">
            <w:pPr>
              <w:spacing w:before="100" w:beforeAutospacing="1" w:after="100" w:afterAutospacing="1"/>
              <w:outlineLvl w:val="2"/>
              <w:rPr>
                <w:rFonts w:ascii="Arial" w:hAnsi="Arial" w:cs="Arial"/>
              </w:rPr>
            </w:pPr>
            <w:r w:rsidRPr="00277D88">
              <w:rPr>
                <w:rFonts w:ascii="Arial" w:hAnsi="Arial" w:cs="Arial"/>
              </w:rPr>
              <w:t xml:space="preserve">Only de-identified information (NHS number removed) is accessible to the </w:t>
            </w:r>
            <w:r>
              <w:rPr>
                <w:rFonts w:ascii="Arial" w:hAnsi="Arial" w:cs="Arial"/>
              </w:rPr>
              <w:t>ICB</w:t>
            </w:r>
            <w:r w:rsidRPr="00277D88">
              <w:rPr>
                <w:rFonts w:ascii="Arial" w:hAnsi="Arial" w:cs="Arial"/>
              </w:rPr>
              <w:t>. This privacy notice covers how the</w:t>
            </w:r>
            <w:r w:rsidR="00F033A2">
              <w:rPr>
                <w:rFonts w:ascii="Arial" w:hAnsi="Arial" w:cs="Arial"/>
              </w:rPr>
              <w:t xml:space="preserve"> ICB</w:t>
            </w:r>
            <w:r w:rsidRPr="00277D88">
              <w:rPr>
                <w:rFonts w:ascii="Arial" w:hAnsi="Arial" w:cs="Arial"/>
              </w:rPr>
              <w:t xml:space="preserve"> use</w:t>
            </w:r>
            <w:r w:rsidR="00F033A2">
              <w:rPr>
                <w:rFonts w:ascii="Arial" w:hAnsi="Arial" w:cs="Arial"/>
              </w:rPr>
              <w:t>s</w:t>
            </w:r>
            <w:r w:rsidRPr="00277D88">
              <w:rPr>
                <w:rFonts w:ascii="Arial" w:hAnsi="Arial" w:cs="Arial"/>
              </w:rPr>
              <w:t xml:space="preserve"> the de-identified information. </w:t>
            </w:r>
          </w:p>
          <w:p w14:paraId="5E58D439" w14:textId="634BFAA3" w:rsidR="00F033A2" w:rsidRPr="00080D20" w:rsidRDefault="00277D88" w:rsidP="00931DBE">
            <w:pPr>
              <w:spacing w:before="100" w:beforeAutospacing="1" w:after="100" w:afterAutospacing="1"/>
              <w:outlineLvl w:val="2"/>
              <w:rPr>
                <w:rFonts w:ascii="Arial" w:hAnsi="Arial" w:cs="Arial"/>
                <w:sz w:val="16"/>
                <w:szCs w:val="16"/>
              </w:rPr>
            </w:pPr>
            <w:r w:rsidRPr="00277D88">
              <w:rPr>
                <w:rFonts w:ascii="Arial" w:hAnsi="Arial" w:cs="Arial"/>
              </w:rPr>
              <w:t>Only GP Practices within</w:t>
            </w:r>
            <w:r w:rsidR="00F033A2">
              <w:rPr>
                <w:rFonts w:ascii="Arial" w:hAnsi="Arial" w:cs="Arial"/>
              </w:rPr>
              <w:t xml:space="preserve"> the ICB area</w:t>
            </w:r>
            <w:r w:rsidRPr="00277D88">
              <w:rPr>
                <w:rFonts w:ascii="Arial" w:hAnsi="Arial" w:cs="Arial"/>
              </w:rPr>
              <w:t xml:space="preserve"> have access to identifiable information (NHS Number) of their own patients </w:t>
            </w:r>
            <w:proofErr w:type="gramStart"/>
            <w:r w:rsidRPr="00277D88">
              <w:rPr>
                <w:rFonts w:ascii="Arial" w:hAnsi="Arial" w:cs="Arial"/>
              </w:rPr>
              <w:t>in order to</w:t>
            </w:r>
            <w:proofErr w:type="gramEnd"/>
            <w:r w:rsidRPr="00277D88">
              <w:rPr>
                <w:rFonts w:ascii="Arial" w:hAnsi="Arial" w:cs="Arial"/>
              </w:rPr>
              <w:t xml:space="preserve"> see who may benefit from additional help. For more information on how individual practices use identifiable data for this purpose, please refer to individual practice privacy notices, these are not managed by the</w:t>
            </w:r>
            <w:r w:rsidR="00F033A2">
              <w:rPr>
                <w:rFonts w:ascii="Arial" w:hAnsi="Arial" w:cs="Arial"/>
              </w:rPr>
              <w:t xml:space="preserve"> ICB.</w:t>
            </w:r>
          </w:p>
        </w:tc>
      </w:tr>
      <w:tr w:rsidR="006F77D2" w14:paraId="235E5E78" w14:textId="77777777" w:rsidTr="0075200D">
        <w:trPr>
          <w:trHeight w:val="50"/>
        </w:trPr>
        <w:tc>
          <w:tcPr>
            <w:tcW w:w="2518" w:type="dxa"/>
          </w:tcPr>
          <w:p w14:paraId="72945971" w14:textId="77777777" w:rsidR="006F77D2" w:rsidRPr="00DA3EDA" w:rsidRDefault="006F77D2" w:rsidP="005629F6">
            <w:pPr>
              <w:rPr>
                <w:rFonts w:ascii="Arial" w:hAnsi="Arial" w:cs="Arial"/>
                <w:b/>
              </w:rPr>
            </w:pPr>
            <w:r>
              <w:rPr>
                <w:rFonts w:ascii="Arial" w:hAnsi="Arial" w:cs="Arial"/>
                <w:b/>
              </w:rPr>
              <w:t>How we will collect and use the Information</w:t>
            </w:r>
          </w:p>
        </w:tc>
        <w:tc>
          <w:tcPr>
            <w:tcW w:w="6724" w:type="dxa"/>
          </w:tcPr>
          <w:p w14:paraId="086C2B25" w14:textId="77777777" w:rsidR="00080D20" w:rsidRPr="00080D20" w:rsidRDefault="00080D20" w:rsidP="00080D20">
            <w:pPr>
              <w:spacing w:before="100" w:beforeAutospacing="1" w:after="100" w:afterAutospacing="1"/>
              <w:rPr>
                <w:rFonts w:ascii="Arial" w:eastAsia="Times New Roman" w:hAnsi="Arial" w:cs="Arial"/>
                <w:lang w:val="en" w:eastAsia="en-GB"/>
              </w:rPr>
            </w:pPr>
            <w:r w:rsidRPr="00080D20">
              <w:rPr>
                <w:rFonts w:ascii="Arial" w:eastAsia="Times New Roman" w:hAnsi="Arial" w:cs="Arial"/>
                <w:lang w:val="en" w:eastAsia="en-GB"/>
              </w:rPr>
              <w:t>Risk stratification tools use a mix of historic information about patients such as age, gender, diagnoses and patterns of hospital attendance and admission as well as data collected in GP practices.</w:t>
            </w:r>
          </w:p>
          <w:p w14:paraId="11B33754" w14:textId="3012EDE3" w:rsidR="009613B8" w:rsidRPr="003E3340" w:rsidRDefault="00080D20" w:rsidP="00931DBE">
            <w:pPr>
              <w:spacing w:before="100" w:beforeAutospacing="1" w:after="100" w:afterAutospacing="1"/>
              <w:rPr>
                <w:rFonts w:ascii="Arial" w:eastAsia="Times New Roman" w:hAnsi="Arial" w:cs="Arial"/>
                <w:bCs/>
                <w:lang w:eastAsia="en-GB"/>
              </w:rPr>
            </w:pPr>
            <w:r w:rsidRPr="00080D20">
              <w:rPr>
                <w:rFonts w:ascii="Arial" w:eastAsia="Times New Roman" w:hAnsi="Arial" w:cs="Arial"/>
                <w:lang w:val="en" w:eastAsia="en-GB"/>
              </w:rPr>
              <w:t xml:space="preserve">NHS Digital provides information, identifiable by your NHS Number only, about hospital </w:t>
            </w:r>
            <w:r w:rsidR="001018E9" w:rsidRPr="00080D20">
              <w:rPr>
                <w:rFonts w:ascii="Arial" w:eastAsia="Times New Roman" w:hAnsi="Arial" w:cs="Arial"/>
                <w:lang w:val="en" w:eastAsia="en-GB"/>
              </w:rPr>
              <w:t>attendance</w:t>
            </w:r>
            <w:r w:rsidRPr="00080D20">
              <w:rPr>
                <w:rFonts w:ascii="Arial" w:eastAsia="Times New Roman" w:hAnsi="Arial" w:cs="Arial"/>
                <w:lang w:val="en" w:eastAsia="en-GB"/>
              </w:rPr>
              <w:t xml:space="preserve">.  GP Practices provide information from GP records also identifiable by your NHS Number only.  Both sets of information are sent via secure transfer to the risk stratification system where they are immediately </w:t>
            </w:r>
            <w:proofErr w:type="spellStart"/>
            <w:r w:rsidRPr="00080D20">
              <w:rPr>
                <w:rFonts w:ascii="Arial" w:eastAsia="Times New Roman" w:hAnsi="Arial" w:cs="Arial"/>
                <w:lang w:val="en" w:eastAsia="en-GB"/>
              </w:rPr>
              <w:t>pseudonymised</w:t>
            </w:r>
            <w:proofErr w:type="spellEnd"/>
            <w:r w:rsidRPr="00080D20">
              <w:rPr>
                <w:rFonts w:ascii="Arial" w:eastAsia="Times New Roman" w:hAnsi="Arial" w:cs="Arial"/>
                <w:lang w:val="en" w:eastAsia="en-GB"/>
              </w:rPr>
              <w:t xml:space="preserve"> and linked to each other.  The risk stratification system uses a formula to </w:t>
            </w:r>
            <w:proofErr w:type="spellStart"/>
            <w:r w:rsidRPr="00080D20">
              <w:rPr>
                <w:rFonts w:ascii="Arial" w:eastAsia="Times New Roman" w:hAnsi="Arial" w:cs="Arial"/>
                <w:lang w:val="en" w:eastAsia="en-GB"/>
              </w:rPr>
              <w:t>analyse</w:t>
            </w:r>
            <w:proofErr w:type="spellEnd"/>
            <w:r w:rsidRPr="00080D20">
              <w:rPr>
                <w:rFonts w:ascii="Arial" w:eastAsia="Times New Roman" w:hAnsi="Arial" w:cs="Arial"/>
                <w:lang w:val="en" w:eastAsia="en-GB"/>
              </w:rPr>
              <w:t xml:space="preserve"> the </w:t>
            </w:r>
            <w:proofErr w:type="spellStart"/>
            <w:r w:rsidRPr="00080D20">
              <w:rPr>
                <w:rFonts w:ascii="Arial" w:eastAsia="Times New Roman" w:hAnsi="Arial" w:cs="Arial"/>
                <w:lang w:val="en" w:eastAsia="en-GB"/>
              </w:rPr>
              <w:t>pseudonymised</w:t>
            </w:r>
            <w:proofErr w:type="spellEnd"/>
            <w:r w:rsidRPr="00080D20">
              <w:rPr>
                <w:rFonts w:ascii="Arial" w:eastAsia="Times New Roman" w:hAnsi="Arial" w:cs="Arial"/>
                <w:lang w:val="en" w:eastAsia="en-GB"/>
              </w:rPr>
              <w:t xml:space="preserve"> data to produce a risk score.  De-identified information</w:t>
            </w:r>
            <w:r w:rsidR="00E26ED3">
              <w:rPr>
                <w:rFonts w:ascii="Arial" w:eastAsia="Times New Roman" w:hAnsi="Arial" w:cs="Arial"/>
                <w:lang w:val="en" w:eastAsia="en-GB"/>
              </w:rPr>
              <w:t xml:space="preserve"> only</w:t>
            </w:r>
            <w:r w:rsidRPr="00080D20">
              <w:rPr>
                <w:rFonts w:ascii="Arial" w:eastAsia="Times New Roman" w:hAnsi="Arial" w:cs="Arial"/>
                <w:lang w:val="en" w:eastAsia="en-GB"/>
              </w:rPr>
              <w:t xml:space="preserve"> is made available to the </w:t>
            </w:r>
            <w:r>
              <w:rPr>
                <w:rFonts w:ascii="Arial" w:eastAsia="Times New Roman" w:hAnsi="Arial" w:cs="Arial"/>
                <w:lang w:val="en" w:eastAsia="en-GB"/>
              </w:rPr>
              <w:t>ICB</w:t>
            </w:r>
            <w:r w:rsidR="00E26ED3">
              <w:rPr>
                <w:rFonts w:ascii="Arial" w:eastAsia="Times New Roman" w:hAnsi="Arial" w:cs="Arial"/>
                <w:lang w:val="en" w:eastAsia="en-GB"/>
              </w:rPr>
              <w:t>.</w:t>
            </w:r>
            <w:r w:rsidRPr="00080D20">
              <w:rPr>
                <w:rFonts w:ascii="Arial" w:eastAsia="Times New Roman" w:hAnsi="Arial" w:cs="Arial"/>
                <w:lang w:val="en" w:eastAsia="en-GB"/>
              </w:rPr>
              <w:t xml:space="preserve"> </w:t>
            </w:r>
          </w:p>
        </w:tc>
      </w:tr>
      <w:tr w:rsidR="00DB4F29" w14:paraId="4F07A23C" w14:textId="77777777" w:rsidTr="0075200D">
        <w:trPr>
          <w:trHeight w:val="416"/>
        </w:trPr>
        <w:tc>
          <w:tcPr>
            <w:tcW w:w="2518" w:type="dxa"/>
          </w:tcPr>
          <w:p w14:paraId="539F8993" w14:textId="295E3BB6" w:rsidR="00DB4F29" w:rsidRPr="00DA3EDA" w:rsidRDefault="00DB4F29" w:rsidP="005629F6">
            <w:pPr>
              <w:rPr>
                <w:rFonts w:ascii="Arial" w:hAnsi="Arial" w:cs="Arial"/>
                <w:b/>
              </w:rPr>
            </w:pPr>
            <w:r w:rsidRPr="00DA3EDA">
              <w:rPr>
                <w:rFonts w:ascii="Arial" w:hAnsi="Arial" w:cs="Arial"/>
                <w:b/>
              </w:rPr>
              <w:t>Who we will share the information with</w:t>
            </w:r>
          </w:p>
        </w:tc>
        <w:tc>
          <w:tcPr>
            <w:tcW w:w="6724" w:type="dxa"/>
          </w:tcPr>
          <w:p w14:paraId="2A6DBD65" w14:textId="3F9978CB" w:rsidR="00DB4F29" w:rsidRPr="004218BF" w:rsidRDefault="00544BE0" w:rsidP="005629F6">
            <w:pPr>
              <w:rPr>
                <w:rFonts w:ascii="Arial" w:hAnsi="Arial" w:cs="Arial"/>
              </w:rPr>
            </w:pPr>
            <w:r>
              <w:rPr>
                <w:rFonts w:ascii="Arial" w:hAnsi="Arial" w:cs="Arial"/>
              </w:rPr>
              <w:t>This information is not shared outside of the ICB</w:t>
            </w:r>
          </w:p>
        </w:tc>
      </w:tr>
      <w:tr w:rsidR="00DB4F29" w14:paraId="5573FBEF" w14:textId="77777777" w:rsidTr="0075200D">
        <w:tc>
          <w:tcPr>
            <w:tcW w:w="2518" w:type="dxa"/>
          </w:tcPr>
          <w:p w14:paraId="72E7A9C4" w14:textId="369E07A7" w:rsidR="00DB4F29" w:rsidRPr="00DA3EDA" w:rsidRDefault="00DB4F29">
            <w:pPr>
              <w:rPr>
                <w:rFonts w:ascii="Arial" w:hAnsi="Arial" w:cs="Arial"/>
                <w:b/>
              </w:rPr>
            </w:pPr>
            <w:r>
              <w:rPr>
                <w:rFonts w:ascii="Arial" w:hAnsi="Arial" w:cs="Arial"/>
                <w:b/>
              </w:rPr>
              <w:t>Legal Basis for Processing Personal Data</w:t>
            </w:r>
          </w:p>
        </w:tc>
        <w:tc>
          <w:tcPr>
            <w:tcW w:w="6724" w:type="dxa"/>
          </w:tcPr>
          <w:p w14:paraId="3C68B977" w14:textId="51347EA0" w:rsidR="00DB4F29" w:rsidRPr="00CF6EAE" w:rsidRDefault="00DB4F29" w:rsidP="00C44A0F">
            <w:pPr>
              <w:spacing w:before="240" w:after="240"/>
              <w:rPr>
                <w:rFonts w:ascii="Arial" w:eastAsia="Times New Roman" w:hAnsi="Arial" w:cs="Arial"/>
                <w:lang w:val="en-US" w:eastAsia="en-GB"/>
              </w:rPr>
            </w:pPr>
            <w:r w:rsidRPr="00CF6EAE">
              <w:rPr>
                <w:rFonts w:ascii="Arial" w:eastAsia="Times New Roman" w:hAnsi="Arial" w:cs="Arial"/>
                <w:lang w:val="en-US" w:eastAsia="en-GB"/>
              </w:rPr>
              <w:t>6(1)(</w:t>
            </w:r>
            <w:r w:rsidR="00B43D0C" w:rsidRPr="00CF6EAE">
              <w:rPr>
                <w:rFonts w:ascii="Arial" w:eastAsia="Times New Roman" w:hAnsi="Arial" w:cs="Arial"/>
                <w:lang w:val="en-US" w:eastAsia="en-GB"/>
              </w:rPr>
              <w:t>e) processing</w:t>
            </w:r>
            <w:r w:rsidRPr="00CF6EAE">
              <w:rPr>
                <w:rFonts w:ascii="Arial" w:eastAsia="Times New Roman" w:hAnsi="Arial" w:cs="Arial"/>
                <w:lang w:val="en-US" w:eastAsia="en-GB"/>
              </w:rPr>
              <w:t xml:space="preserve"> is necessary for the performance of a task carried out in the public interest or in the exercise of official authority vested in the </w:t>
            </w:r>
            <w:r w:rsidR="0046467F" w:rsidRPr="00CF6EAE">
              <w:rPr>
                <w:rFonts w:ascii="Arial" w:eastAsia="Times New Roman" w:hAnsi="Arial" w:cs="Arial"/>
                <w:lang w:val="en-US" w:eastAsia="en-GB"/>
              </w:rPr>
              <w:t>controller.</w:t>
            </w:r>
          </w:p>
          <w:p w14:paraId="0933E691" w14:textId="20AF5F95" w:rsidR="00D16415" w:rsidRPr="00D16415" w:rsidRDefault="00D16415" w:rsidP="00D16415">
            <w:pPr>
              <w:rPr>
                <w:rFonts w:ascii="Arial" w:hAnsi="Arial" w:cs="Arial"/>
                <w:b/>
                <w:bCs/>
                <w:lang w:val="en"/>
              </w:rPr>
            </w:pPr>
            <w:r w:rsidRPr="00DE6FE8">
              <w:rPr>
                <w:rFonts w:ascii="Arial" w:hAnsi="Arial" w:cs="Arial"/>
                <w:b/>
                <w:bCs/>
                <w:lang w:val="en"/>
              </w:rPr>
              <w:t>Processing of Special Categories of Data</w:t>
            </w:r>
          </w:p>
          <w:p w14:paraId="0584C9CF" w14:textId="12303FE9" w:rsidR="00DB4F29" w:rsidRDefault="00C44A0F" w:rsidP="00DC0E91">
            <w:pPr>
              <w:spacing w:before="100" w:beforeAutospacing="1" w:after="100" w:afterAutospacing="1"/>
              <w:outlineLvl w:val="2"/>
              <w:rPr>
                <w:rStyle w:val="Hyperlink"/>
                <w:rFonts w:ascii="Arial" w:eastAsia="Times New Roman" w:hAnsi="Arial" w:cs="Arial"/>
                <w:bCs/>
                <w:lang w:val="en-US" w:eastAsia="en-GB"/>
              </w:rPr>
            </w:pPr>
            <w:r>
              <w:rPr>
                <w:rFonts w:ascii="Arial" w:eastAsia="Times New Roman" w:hAnsi="Arial" w:cs="Arial"/>
                <w:bCs/>
                <w:lang w:val="en-US" w:eastAsia="en-GB"/>
              </w:rPr>
              <w:t>9</w:t>
            </w:r>
            <w:r w:rsidRPr="00C44A0F">
              <w:rPr>
                <w:rFonts w:ascii="Arial" w:eastAsia="Times New Roman" w:hAnsi="Arial" w:cs="Arial"/>
                <w:bCs/>
                <w:lang w:val="en-US" w:eastAsia="en-GB"/>
              </w:rPr>
              <w:t xml:space="preserve">(2)(h) processing is necessary for the purposes of </w:t>
            </w:r>
            <w:r>
              <w:rPr>
                <w:rFonts w:ascii="Arial" w:eastAsia="Times New Roman" w:hAnsi="Arial" w:cs="Arial"/>
                <w:bCs/>
                <w:lang w:val="en-US" w:eastAsia="en-GB"/>
              </w:rPr>
              <w:t xml:space="preserve"> </w:t>
            </w:r>
            <w:r w:rsidRPr="00C44A0F">
              <w:rPr>
                <w:rFonts w:ascii="Arial" w:eastAsia="Times New Roman" w:hAnsi="Arial" w:cs="Arial"/>
                <w:bCs/>
                <w:lang w:val="en-US" w:eastAsia="en-GB"/>
              </w:rPr>
              <w:t xml:space="preserve">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 referred to in </w:t>
            </w:r>
            <w:hyperlink r:id="rId8" w:history="1">
              <w:r w:rsidRPr="00C44A0F">
                <w:rPr>
                  <w:rStyle w:val="Hyperlink"/>
                  <w:rFonts w:ascii="Arial" w:eastAsia="Times New Roman" w:hAnsi="Arial" w:cs="Arial"/>
                  <w:bCs/>
                  <w:lang w:val="en-US" w:eastAsia="en-GB"/>
                </w:rPr>
                <w:t>paragraph 3</w:t>
              </w:r>
            </w:hyperlink>
          </w:p>
          <w:p w14:paraId="2C22FDEB" w14:textId="60281F9B" w:rsidR="00DC0E91" w:rsidRPr="00C86DE9" w:rsidRDefault="00C86DE9" w:rsidP="00DC0E91">
            <w:pPr>
              <w:spacing w:before="100" w:beforeAutospacing="1" w:after="100" w:afterAutospacing="1"/>
              <w:outlineLvl w:val="2"/>
              <w:rPr>
                <w:rFonts w:ascii="Arial" w:eastAsia="Times New Roman" w:hAnsi="Arial" w:cs="Arial"/>
                <w:bCs/>
                <w:color w:val="0000FF" w:themeColor="hyperlink"/>
                <w:u w:val="single"/>
                <w:lang w:val="en-US" w:eastAsia="en-GB"/>
              </w:rPr>
            </w:pPr>
            <w:r w:rsidRPr="00C8695B">
              <w:rPr>
                <w:rFonts w:ascii="Arial" w:eastAsia="Times New Roman" w:hAnsi="Arial" w:cs="Arial"/>
                <w:lang w:val="en" w:eastAsia="en-GB"/>
              </w:rPr>
              <w:t>Schedule 1 part 1 (2) of DPA 2018 for ‘Health or Social Care Purposes</w:t>
            </w:r>
            <w:r>
              <w:rPr>
                <w:rFonts w:ascii="Arial" w:eastAsia="Times New Roman" w:hAnsi="Arial" w:cs="Arial"/>
                <w:lang w:val="en" w:eastAsia="en-GB"/>
              </w:rPr>
              <w:t>’</w:t>
            </w:r>
          </w:p>
        </w:tc>
      </w:tr>
      <w:tr w:rsidR="00975D3C" w14:paraId="2B488352" w14:textId="77777777" w:rsidTr="0075200D">
        <w:tc>
          <w:tcPr>
            <w:tcW w:w="2518" w:type="dxa"/>
          </w:tcPr>
          <w:p w14:paraId="5D94D850" w14:textId="77777777" w:rsidR="00975D3C" w:rsidRPr="00DA3EDA" w:rsidRDefault="00975D3C">
            <w:pPr>
              <w:rPr>
                <w:rFonts w:ascii="Arial" w:hAnsi="Arial" w:cs="Arial"/>
                <w:b/>
              </w:rPr>
            </w:pPr>
            <w:r>
              <w:rPr>
                <w:rFonts w:ascii="Arial" w:hAnsi="Arial" w:cs="Arial"/>
                <w:b/>
              </w:rPr>
              <w:t>Common Law Duty of Confidentiality</w:t>
            </w:r>
          </w:p>
        </w:tc>
        <w:tc>
          <w:tcPr>
            <w:tcW w:w="6724" w:type="dxa"/>
          </w:tcPr>
          <w:p w14:paraId="323B62C2" w14:textId="3A39C2BE" w:rsidR="00080D20" w:rsidRPr="00F033A2" w:rsidRDefault="00F033A2" w:rsidP="00C13623">
            <w:pPr>
              <w:spacing w:before="100" w:beforeAutospacing="1" w:after="100" w:afterAutospacing="1"/>
              <w:rPr>
                <w:rFonts w:ascii="Arial" w:eastAsia="Times New Roman" w:hAnsi="Arial" w:cs="Arial"/>
                <w:lang w:eastAsia="en-GB"/>
              </w:rPr>
            </w:pPr>
            <w:r>
              <w:rPr>
                <w:rFonts w:ascii="Arial" w:eastAsia="Times New Roman" w:hAnsi="Arial" w:cs="Arial"/>
                <w:lang w:eastAsia="en-GB"/>
              </w:rPr>
              <w:t xml:space="preserve">A </w:t>
            </w:r>
            <w:r w:rsidRPr="00F033A2">
              <w:rPr>
                <w:rFonts w:ascii="Arial" w:eastAsia="Times New Roman" w:hAnsi="Arial" w:cs="Arial"/>
                <w:lang w:eastAsia="en-GB"/>
              </w:rPr>
              <w:t xml:space="preserve">section 251 approval </w:t>
            </w:r>
            <w:hyperlink r:id="rId9" w:history="1">
              <w:r w:rsidRPr="00F033A2">
                <w:rPr>
                  <w:rStyle w:val="Hyperlink"/>
                  <w:rFonts w:ascii="Arial" w:eastAsia="Times New Roman" w:hAnsi="Arial" w:cs="Arial"/>
                  <w:lang w:eastAsia="en-GB"/>
                </w:rPr>
                <w:t>(</w:t>
              </w:r>
              <w:r w:rsidR="00C13623">
                <w:rPr>
                  <w:rStyle w:val="Hyperlink"/>
                  <w:rFonts w:ascii="Arial" w:eastAsia="Times New Roman" w:hAnsi="Arial" w:cs="Arial"/>
                  <w:lang w:eastAsia="en-GB"/>
                </w:rPr>
                <w:t>22CAG-0101</w:t>
              </w:r>
              <w:r w:rsidRPr="00F033A2">
                <w:rPr>
                  <w:rStyle w:val="Hyperlink"/>
                  <w:rFonts w:ascii="Arial" w:eastAsia="Times New Roman" w:hAnsi="Arial" w:cs="Arial"/>
                  <w:lang w:eastAsia="en-GB"/>
                </w:rPr>
                <w:t>)</w:t>
              </w:r>
            </w:hyperlink>
            <w:r w:rsidRPr="00F033A2">
              <w:rPr>
                <w:rFonts w:ascii="Arial" w:eastAsia="Times New Roman" w:hAnsi="Arial" w:cs="Arial"/>
                <w:lang w:eastAsia="en-GB"/>
              </w:rPr>
              <w:t xml:space="preserve"> from the Secretary of State, through the Confidentiality Advisory Group of the Health Research Authority, enables the pseudonymised information to be sent to the </w:t>
            </w:r>
            <w:r>
              <w:rPr>
                <w:rFonts w:ascii="Arial" w:eastAsia="Times New Roman" w:hAnsi="Arial" w:cs="Arial"/>
                <w:lang w:eastAsia="en-GB"/>
              </w:rPr>
              <w:t>ICB</w:t>
            </w:r>
            <w:r w:rsidRPr="00F033A2">
              <w:rPr>
                <w:rFonts w:ascii="Arial" w:eastAsia="Times New Roman" w:hAnsi="Arial" w:cs="Arial"/>
                <w:lang w:eastAsia="en-GB"/>
              </w:rPr>
              <w:t xml:space="preserve"> via NHS Digital </w:t>
            </w:r>
            <w:proofErr w:type="gramStart"/>
            <w:r w:rsidRPr="00F033A2">
              <w:rPr>
                <w:rFonts w:ascii="Arial" w:eastAsia="Times New Roman" w:hAnsi="Arial" w:cs="Arial"/>
                <w:lang w:eastAsia="en-GB"/>
              </w:rPr>
              <w:t>in order to</w:t>
            </w:r>
            <w:proofErr w:type="gramEnd"/>
            <w:r w:rsidRPr="00F033A2">
              <w:rPr>
                <w:rFonts w:ascii="Arial" w:eastAsia="Times New Roman" w:hAnsi="Arial" w:cs="Arial"/>
                <w:lang w:eastAsia="en-GB"/>
              </w:rPr>
              <w:t xml:space="preserve"> help us plan the most appropriate health services for our population</w:t>
            </w:r>
            <w:r>
              <w:rPr>
                <w:rFonts w:ascii="Arial" w:eastAsia="Times New Roman" w:hAnsi="Arial" w:cs="Arial"/>
                <w:lang w:eastAsia="en-GB"/>
              </w:rPr>
              <w:t>.</w:t>
            </w:r>
          </w:p>
        </w:tc>
      </w:tr>
      <w:tr w:rsidR="00DB4F29" w14:paraId="2612E712" w14:textId="77777777" w:rsidTr="0075200D">
        <w:trPr>
          <w:trHeight w:val="786"/>
        </w:trPr>
        <w:tc>
          <w:tcPr>
            <w:tcW w:w="2518" w:type="dxa"/>
          </w:tcPr>
          <w:p w14:paraId="17E2A846" w14:textId="77777777" w:rsidR="00DB4F29" w:rsidRPr="00DA3EDA" w:rsidRDefault="00DB4F29">
            <w:pPr>
              <w:rPr>
                <w:rFonts w:ascii="Arial" w:hAnsi="Arial" w:cs="Arial"/>
                <w:b/>
              </w:rPr>
            </w:pPr>
            <w:r w:rsidRPr="00DA3EDA">
              <w:rPr>
                <w:rFonts w:ascii="Arial" w:hAnsi="Arial" w:cs="Arial"/>
                <w:b/>
              </w:rPr>
              <w:t>Data Processors</w:t>
            </w:r>
          </w:p>
          <w:p w14:paraId="6D5E43D8" w14:textId="77777777" w:rsidR="00DB4F29" w:rsidRPr="00DA3EDA" w:rsidRDefault="00DB4F29">
            <w:pPr>
              <w:rPr>
                <w:rFonts w:ascii="Arial" w:hAnsi="Arial" w:cs="Arial"/>
                <w:b/>
              </w:rPr>
            </w:pPr>
          </w:p>
        </w:tc>
        <w:tc>
          <w:tcPr>
            <w:tcW w:w="6724" w:type="dxa"/>
          </w:tcPr>
          <w:p w14:paraId="545D9B12" w14:textId="51131D27" w:rsidR="001136D3" w:rsidRPr="00650ABC" w:rsidRDefault="00080D20" w:rsidP="0046467F">
            <w:pPr>
              <w:spacing w:before="100" w:beforeAutospacing="1" w:after="100" w:afterAutospacing="1"/>
              <w:outlineLvl w:val="2"/>
              <w:rPr>
                <w:rFonts w:ascii="Arial" w:eastAsia="Times New Roman" w:hAnsi="Arial" w:cs="Arial"/>
                <w:bCs/>
                <w:lang w:eastAsia="en-GB"/>
              </w:rPr>
            </w:pPr>
            <w:r w:rsidRPr="00080D20">
              <w:rPr>
                <w:rFonts w:ascii="Arial" w:eastAsia="Times New Roman" w:hAnsi="Arial" w:cs="Arial"/>
                <w:bCs/>
                <w:lang w:eastAsia="en-GB"/>
              </w:rPr>
              <w:t>Data Services for Commissioners Regional Office (DSCRO)</w:t>
            </w:r>
            <w:r w:rsidR="0009440F">
              <w:rPr>
                <w:rFonts w:ascii="Arial" w:eastAsia="Times New Roman" w:hAnsi="Arial" w:cs="Arial"/>
                <w:bCs/>
                <w:lang w:eastAsia="en-GB"/>
              </w:rPr>
              <w:t xml:space="preserve"> </w:t>
            </w:r>
            <w:r w:rsidRPr="00080D20">
              <w:rPr>
                <w:rFonts w:ascii="Arial" w:eastAsia="Times New Roman" w:hAnsi="Arial" w:cs="Arial"/>
                <w:bCs/>
                <w:lang w:eastAsia="en-GB"/>
              </w:rPr>
              <w:t>hosted by North of England Commissioning Support (NECS)</w:t>
            </w:r>
            <w:r w:rsidR="00E26ED3">
              <w:rPr>
                <w:rFonts w:ascii="Arial" w:eastAsia="Times New Roman" w:hAnsi="Arial" w:cs="Arial"/>
                <w:bCs/>
                <w:lang w:eastAsia="en-GB"/>
              </w:rPr>
              <w:t>.</w:t>
            </w:r>
          </w:p>
        </w:tc>
      </w:tr>
      <w:tr w:rsidR="00DB4F29" w14:paraId="218BFA80" w14:textId="77777777" w:rsidTr="0075200D">
        <w:tc>
          <w:tcPr>
            <w:tcW w:w="2518" w:type="dxa"/>
          </w:tcPr>
          <w:p w14:paraId="3E3755BC" w14:textId="77777777" w:rsidR="00DB4F29" w:rsidRPr="004775F6" w:rsidRDefault="00DB4F29">
            <w:pPr>
              <w:rPr>
                <w:rFonts w:ascii="Arial" w:eastAsia="Times New Roman" w:hAnsi="Arial" w:cs="Arial"/>
                <w:b/>
                <w:bCs/>
                <w:color w:val="231F20"/>
                <w:lang w:eastAsia="en-GB"/>
              </w:rPr>
            </w:pPr>
            <w:r w:rsidRPr="004775F6">
              <w:rPr>
                <w:rFonts w:ascii="Arial" w:eastAsia="Times New Roman" w:hAnsi="Arial" w:cs="Arial"/>
                <w:b/>
                <w:bCs/>
                <w:color w:val="231F20"/>
                <w:lang w:eastAsia="en-GB"/>
              </w:rPr>
              <w:t>Your Rights</w:t>
            </w:r>
          </w:p>
          <w:p w14:paraId="6BE0EFFA" w14:textId="77777777" w:rsidR="00DB4F29" w:rsidRPr="00AD4CAF" w:rsidRDefault="00DB4F29">
            <w:pPr>
              <w:rPr>
                <w:rFonts w:ascii="Arial" w:eastAsia="Times New Roman" w:hAnsi="Arial" w:cs="Arial"/>
                <w:color w:val="231F20"/>
                <w:lang w:eastAsia="en-GB"/>
              </w:rPr>
            </w:pPr>
          </w:p>
          <w:p w14:paraId="2F632C21" w14:textId="77777777" w:rsidR="00DB4F29" w:rsidRPr="00AD4CAF" w:rsidRDefault="00DB4F29">
            <w:pPr>
              <w:rPr>
                <w:rFonts w:ascii="Arial" w:eastAsia="Times New Roman" w:hAnsi="Arial" w:cs="Arial"/>
                <w:color w:val="231F20"/>
                <w:lang w:eastAsia="en-GB"/>
              </w:rPr>
            </w:pPr>
          </w:p>
          <w:p w14:paraId="0AA0AD75" w14:textId="77777777" w:rsidR="00DB4F29" w:rsidRPr="00AD4CAF" w:rsidRDefault="00DB4F29">
            <w:pPr>
              <w:rPr>
                <w:rFonts w:ascii="Arial" w:eastAsia="Times New Roman" w:hAnsi="Arial" w:cs="Arial"/>
                <w:color w:val="231F20"/>
                <w:lang w:eastAsia="en-GB"/>
              </w:rPr>
            </w:pPr>
          </w:p>
          <w:p w14:paraId="512B0F36" w14:textId="77777777" w:rsidR="00DB4F29" w:rsidRPr="00AD4CAF" w:rsidRDefault="00DB4F29">
            <w:pPr>
              <w:rPr>
                <w:rFonts w:ascii="Arial" w:eastAsia="Times New Roman" w:hAnsi="Arial" w:cs="Arial"/>
                <w:color w:val="231F20"/>
                <w:lang w:eastAsia="en-GB"/>
              </w:rPr>
            </w:pPr>
          </w:p>
        </w:tc>
        <w:tc>
          <w:tcPr>
            <w:tcW w:w="6724" w:type="dxa"/>
          </w:tcPr>
          <w:p w14:paraId="16201815" w14:textId="77777777" w:rsidR="00A5269B" w:rsidRPr="004232BF" w:rsidRDefault="00A5269B" w:rsidP="0046467F">
            <w:pPr>
              <w:spacing w:line="312" w:lineRule="auto"/>
              <w:rPr>
                <w:rFonts w:ascii="Arial" w:eastAsia="Times New Roman" w:hAnsi="Arial" w:cs="Arial"/>
                <w:color w:val="231F20"/>
                <w:lang w:eastAsia="en-GB"/>
              </w:rPr>
            </w:pPr>
            <w:r w:rsidRPr="004232BF">
              <w:rPr>
                <w:rFonts w:ascii="Arial" w:eastAsia="Times New Roman" w:hAnsi="Arial" w:cs="Arial"/>
                <w:color w:val="231F20"/>
                <w:lang w:eastAsia="en-GB"/>
              </w:rPr>
              <w:t xml:space="preserve">• To be informed about the processing of your information (this </w:t>
            </w:r>
          </w:p>
          <w:p w14:paraId="68489B38" w14:textId="77777777" w:rsidR="00A5269B" w:rsidRPr="004232BF" w:rsidRDefault="00A5269B" w:rsidP="0046467F">
            <w:pPr>
              <w:spacing w:line="312" w:lineRule="auto"/>
              <w:rPr>
                <w:rFonts w:ascii="Arial" w:eastAsia="Times New Roman" w:hAnsi="Arial" w:cs="Arial"/>
                <w:color w:val="231F20"/>
                <w:lang w:eastAsia="en-GB"/>
              </w:rPr>
            </w:pPr>
            <w:r w:rsidRPr="004232BF">
              <w:rPr>
                <w:rFonts w:ascii="Arial" w:eastAsia="Times New Roman" w:hAnsi="Arial" w:cs="Arial"/>
                <w:color w:val="231F20"/>
                <w:lang w:eastAsia="en-GB"/>
              </w:rPr>
              <w:t>notice)</w:t>
            </w:r>
          </w:p>
          <w:p w14:paraId="44779906" w14:textId="77777777" w:rsidR="00A5269B" w:rsidRPr="004232BF" w:rsidRDefault="00A5269B" w:rsidP="0046467F">
            <w:pPr>
              <w:spacing w:line="312" w:lineRule="auto"/>
              <w:rPr>
                <w:rFonts w:ascii="Arial" w:eastAsia="Times New Roman" w:hAnsi="Arial" w:cs="Arial"/>
                <w:color w:val="231F20"/>
                <w:lang w:eastAsia="en-GB"/>
              </w:rPr>
            </w:pPr>
            <w:r w:rsidRPr="004232BF">
              <w:rPr>
                <w:rFonts w:ascii="Arial" w:eastAsia="Times New Roman" w:hAnsi="Arial" w:cs="Arial"/>
                <w:color w:val="231F20"/>
                <w:lang w:eastAsia="en-GB"/>
              </w:rPr>
              <w:t>• Of access to information held about you</w:t>
            </w:r>
          </w:p>
          <w:p w14:paraId="3B364150" w14:textId="3FEA1DF7" w:rsidR="00A5269B" w:rsidRPr="004232BF" w:rsidRDefault="00A5269B" w:rsidP="0046467F">
            <w:pPr>
              <w:spacing w:line="312" w:lineRule="auto"/>
              <w:rPr>
                <w:rFonts w:ascii="Arial" w:eastAsia="Times New Roman" w:hAnsi="Arial" w:cs="Arial"/>
                <w:color w:val="231F20"/>
                <w:lang w:eastAsia="en-GB"/>
              </w:rPr>
            </w:pPr>
            <w:r w:rsidRPr="004232BF">
              <w:rPr>
                <w:rFonts w:ascii="Arial" w:eastAsia="Times New Roman" w:hAnsi="Arial" w:cs="Arial"/>
                <w:color w:val="231F20"/>
                <w:lang w:eastAsia="en-GB"/>
              </w:rPr>
              <w:t>• Have the information corrected</w:t>
            </w:r>
            <w:r>
              <w:rPr>
                <w:rFonts w:ascii="Arial" w:eastAsia="Times New Roman" w:hAnsi="Arial" w:cs="Arial"/>
                <w:color w:val="231F20"/>
                <w:lang w:eastAsia="en-GB"/>
              </w:rPr>
              <w:t>,</w:t>
            </w:r>
            <w:r w:rsidRPr="004232BF">
              <w:rPr>
                <w:rFonts w:ascii="Arial" w:eastAsia="Times New Roman" w:hAnsi="Arial" w:cs="Arial"/>
                <w:color w:val="231F20"/>
                <w:lang w:eastAsia="en-GB"/>
              </w:rPr>
              <w:t xml:space="preserve"> </w:t>
            </w:r>
            <w:proofErr w:type="gramStart"/>
            <w:r w:rsidRPr="004232BF">
              <w:rPr>
                <w:rFonts w:ascii="Arial" w:eastAsia="Times New Roman" w:hAnsi="Arial" w:cs="Arial"/>
                <w:color w:val="231F20"/>
                <w:lang w:eastAsia="en-GB"/>
              </w:rPr>
              <w:t>in the event that</w:t>
            </w:r>
            <w:proofErr w:type="gramEnd"/>
            <w:r w:rsidRPr="004232BF">
              <w:rPr>
                <w:rFonts w:ascii="Arial" w:eastAsia="Times New Roman" w:hAnsi="Arial" w:cs="Arial"/>
                <w:color w:val="231F20"/>
                <w:lang w:eastAsia="en-GB"/>
              </w:rPr>
              <w:t xml:space="preserve"> it is </w:t>
            </w:r>
          </w:p>
          <w:p w14:paraId="2B747481" w14:textId="77777777" w:rsidR="00A5269B" w:rsidRPr="004232BF" w:rsidRDefault="00A5269B" w:rsidP="0046467F">
            <w:pPr>
              <w:spacing w:line="312" w:lineRule="auto"/>
              <w:rPr>
                <w:rFonts w:ascii="Arial" w:eastAsia="Times New Roman" w:hAnsi="Arial" w:cs="Arial"/>
                <w:color w:val="231F20"/>
                <w:lang w:eastAsia="en-GB"/>
              </w:rPr>
            </w:pPr>
            <w:r w:rsidRPr="004232BF">
              <w:rPr>
                <w:rFonts w:ascii="Arial" w:eastAsia="Times New Roman" w:hAnsi="Arial" w:cs="Arial"/>
                <w:color w:val="231F20"/>
                <w:lang w:eastAsia="en-GB"/>
              </w:rPr>
              <w:t>inaccurate</w:t>
            </w:r>
          </w:p>
          <w:p w14:paraId="2DA6358F" w14:textId="0B48BF16" w:rsidR="00A5269B" w:rsidRPr="004232BF" w:rsidRDefault="00A5269B" w:rsidP="0046467F">
            <w:pPr>
              <w:spacing w:line="312" w:lineRule="auto"/>
              <w:rPr>
                <w:rFonts w:ascii="Arial" w:eastAsia="Times New Roman" w:hAnsi="Arial" w:cs="Arial"/>
                <w:color w:val="231F20"/>
                <w:lang w:eastAsia="en-GB"/>
              </w:rPr>
            </w:pPr>
            <w:r w:rsidRPr="004232BF">
              <w:rPr>
                <w:rFonts w:ascii="Arial" w:eastAsia="Times New Roman" w:hAnsi="Arial" w:cs="Arial"/>
                <w:color w:val="231F20"/>
                <w:lang w:eastAsia="en-GB"/>
              </w:rPr>
              <w:t>• To restrict or stop processin</w:t>
            </w:r>
            <w:r>
              <w:rPr>
                <w:rFonts w:ascii="Arial" w:eastAsia="Times New Roman" w:hAnsi="Arial" w:cs="Arial"/>
                <w:color w:val="231F20"/>
                <w:lang w:eastAsia="en-GB"/>
              </w:rPr>
              <w:t>g</w:t>
            </w:r>
          </w:p>
          <w:p w14:paraId="5C61675E" w14:textId="77777777" w:rsidR="00A5269B" w:rsidRPr="004232BF" w:rsidRDefault="00A5269B" w:rsidP="0046467F">
            <w:pPr>
              <w:spacing w:line="312" w:lineRule="auto"/>
              <w:rPr>
                <w:rFonts w:ascii="Arial" w:eastAsia="Times New Roman" w:hAnsi="Arial" w:cs="Arial"/>
                <w:color w:val="231F20"/>
                <w:lang w:eastAsia="en-GB"/>
              </w:rPr>
            </w:pPr>
            <w:r w:rsidRPr="004232BF">
              <w:rPr>
                <w:rFonts w:ascii="Arial" w:eastAsia="Times New Roman" w:hAnsi="Arial" w:cs="Arial"/>
                <w:color w:val="231F20"/>
                <w:lang w:eastAsia="en-GB"/>
              </w:rPr>
              <w:t>• Object to it being processed or used</w:t>
            </w:r>
          </w:p>
          <w:p w14:paraId="30289FEC" w14:textId="00D77847" w:rsidR="00080D20" w:rsidRPr="00F033A2" w:rsidRDefault="00A5269B" w:rsidP="0046467F">
            <w:pPr>
              <w:spacing w:line="312" w:lineRule="auto"/>
              <w:rPr>
                <w:rFonts w:ascii="Arial" w:eastAsia="Times New Roman" w:hAnsi="Arial" w:cs="Arial"/>
                <w:color w:val="231F20"/>
                <w:lang w:eastAsia="en-GB"/>
              </w:rPr>
            </w:pPr>
            <w:r w:rsidRPr="004232BF">
              <w:rPr>
                <w:rFonts w:ascii="Arial" w:eastAsia="Times New Roman" w:hAnsi="Arial" w:cs="Arial"/>
                <w:color w:val="231F20"/>
                <w:lang w:eastAsia="en-GB"/>
              </w:rPr>
              <w:t>• Not to be subject automated decision-taking or profiling</w:t>
            </w:r>
          </w:p>
        </w:tc>
      </w:tr>
      <w:tr w:rsidR="00DB4F29" w14:paraId="562F6B8A" w14:textId="77777777" w:rsidTr="0075200D">
        <w:tc>
          <w:tcPr>
            <w:tcW w:w="2518" w:type="dxa"/>
          </w:tcPr>
          <w:p w14:paraId="1215CB35" w14:textId="77777777" w:rsidR="00DB4F29" w:rsidRPr="00DA3EDA" w:rsidRDefault="00DB4F29">
            <w:pPr>
              <w:rPr>
                <w:rFonts w:ascii="Arial" w:hAnsi="Arial" w:cs="Arial"/>
                <w:b/>
              </w:rPr>
            </w:pPr>
            <w:r w:rsidRPr="00DA3EDA">
              <w:rPr>
                <w:rFonts w:ascii="Arial" w:hAnsi="Arial" w:cs="Arial"/>
                <w:b/>
              </w:rPr>
              <w:t>How long we will keep the information</w:t>
            </w:r>
          </w:p>
          <w:p w14:paraId="69216766" w14:textId="77777777" w:rsidR="00DB4F29" w:rsidRPr="00DA3EDA" w:rsidRDefault="00DB4F29">
            <w:pPr>
              <w:rPr>
                <w:rFonts w:ascii="Arial" w:hAnsi="Arial" w:cs="Arial"/>
                <w:b/>
              </w:rPr>
            </w:pPr>
          </w:p>
          <w:p w14:paraId="4188A845" w14:textId="77777777" w:rsidR="00DB4F29" w:rsidRPr="00DA3EDA" w:rsidRDefault="00DB4F29">
            <w:pPr>
              <w:rPr>
                <w:rFonts w:ascii="Arial" w:hAnsi="Arial" w:cs="Arial"/>
                <w:b/>
              </w:rPr>
            </w:pPr>
          </w:p>
        </w:tc>
        <w:tc>
          <w:tcPr>
            <w:tcW w:w="6724" w:type="dxa"/>
          </w:tcPr>
          <w:p w14:paraId="133A451B" w14:textId="11FA797B" w:rsidR="00D508CB" w:rsidRDefault="00D508CB" w:rsidP="00D508CB">
            <w:pPr>
              <w:spacing w:before="100" w:beforeAutospacing="1" w:after="100" w:afterAutospacing="1"/>
              <w:rPr>
                <w:rFonts w:ascii="Arial" w:eastAsia="Times New Roman" w:hAnsi="Arial" w:cs="Arial"/>
                <w:lang w:val="en" w:eastAsia="en-GB"/>
              </w:rPr>
            </w:pPr>
            <w:r w:rsidRPr="00C44A0F">
              <w:rPr>
                <w:rFonts w:ascii="Arial" w:eastAsia="Times New Roman" w:hAnsi="Arial" w:cs="Arial"/>
                <w:lang w:val="en" w:eastAsia="en-GB"/>
              </w:rPr>
              <w:t xml:space="preserve">Your personal data will be </w:t>
            </w:r>
            <w:r w:rsidR="00B54FDA">
              <w:rPr>
                <w:rFonts w:ascii="Arial" w:eastAsia="Times New Roman" w:hAnsi="Arial" w:cs="Arial"/>
                <w:lang w:val="en" w:eastAsia="en-GB"/>
              </w:rPr>
              <w:t>retained on</w:t>
            </w:r>
            <w:r w:rsidRPr="00C44A0F">
              <w:rPr>
                <w:rFonts w:ascii="Arial" w:eastAsia="Times New Roman" w:hAnsi="Arial" w:cs="Arial"/>
                <w:lang w:val="en" w:eastAsia="en-GB"/>
              </w:rPr>
              <w:t xml:space="preserve"> our systems and files in line with the Records Management Code of Practice</w:t>
            </w:r>
            <w:r w:rsidR="00B54FDA">
              <w:rPr>
                <w:rFonts w:ascii="Arial" w:eastAsia="Times New Roman" w:hAnsi="Arial" w:cs="Arial"/>
                <w:lang w:val="en" w:eastAsia="en-GB"/>
              </w:rPr>
              <w:t>.</w:t>
            </w:r>
          </w:p>
          <w:p w14:paraId="05603073" w14:textId="5A0B86D5" w:rsidR="000A7DCC" w:rsidRPr="00BC2988" w:rsidRDefault="00D508CB" w:rsidP="0046467F">
            <w:pPr>
              <w:spacing w:before="100" w:beforeAutospacing="1" w:after="100" w:afterAutospacing="1"/>
              <w:rPr>
                <w:rFonts w:ascii="Arial" w:hAnsi="Arial" w:cs="Arial"/>
              </w:rPr>
            </w:pPr>
            <w:hyperlink r:id="rId10" w:history="1">
              <w:r w:rsidRPr="00291A82">
                <w:rPr>
                  <w:rFonts w:ascii="Arial" w:hAnsi="Arial" w:cs="Arial"/>
                  <w:color w:val="0000FF"/>
                  <w:u w:val="single"/>
                </w:rPr>
                <w:t>Records Management Code of Practice - NHS Transformation Directorate (nhsx.nhs.uk)</w:t>
              </w:r>
            </w:hyperlink>
          </w:p>
        </w:tc>
      </w:tr>
      <w:tr w:rsidR="00650ABC" w14:paraId="66586519" w14:textId="77777777" w:rsidTr="0075200D">
        <w:tc>
          <w:tcPr>
            <w:tcW w:w="2518" w:type="dxa"/>
          </w:tcPr>
          <w:p w14:paraId="485DC74E" w14:textId="77777777" w:rsidR="00650ABC" w:rsidRDefault="00650ABC">
            <w:pPr>
              <w:rPr>
                <w:rFonts w:ascii="Arial" w:hAnsi="Arial" w:cs="Arial"/>
                <w:b/>
              </w:rPr>
            </w:pPr>
            <w:proofErr w:type="spellStart"/>
            <w:r>
              <w:rPr>
                <w:rFonts w:ascii="Arial" w:hAnsi="Arial" w:cs="Arial"/>
                <w:b/>
              </w:rPr>
              <w:t>Opt</w:t>
            </w:r>
            <w:proofErr w:type="spellEnd"/>
            <w:r>
              <w:rPr>
                <w:rFonts w:ascii="Arial" w:hAnsi="Arial" w:cs="Arial"/>
                <w:b/>
              </w:rPr>
              <w:t>- out</w:t>
            </w:r>
          </w:p>
          <w:p w14:paraId="00532A31" w14:textId="726C8601" w:rsidR="000A7DCC" w:rsidRPr="00DA3EDA" w:rsidRDefault="000A7DCC">
            <w:pPr>
              <w:rPr>
                <w:rFonts w:ascii="Arial" w:hAnsi="Arial" w:cs="Arial"/>
                <w:b/>
              </w:rPr>
            </w:pPr>
          </w:p>
        </w:tc>
        <w:tc>
          <w:tcPr>
            <w:tcW w:w="6724" w:type="dxa"/>
          </w:tcPr>
          <w:p w14:paraId="1186402B" w14:textId="5D6437CB" w:rsidR="00650ABC" w:rsidRPr="00C44A0F" w:rsidRDefault="00544BE0" w:rsidP="00D508CB">
            <w:pPr>
              <w:spacing w:before="100" w:beforeAutospacing="1" w:after="100" w:afterAutospacing="1"/>
              <w:rPr>
                <w:rFonts w:ascii="Arial" w:eastAsia="Times New Roman" w:hAnsi="Arial" w:cs="Arial"/>
                <w:lang w:val="en" w:eastAsia="en-GB"/>
              </w:rPr>
            </w:pPr>
            <w:r>
              <w:rPr>
                <w:rFonts w:ascii="Arial" w:eastAsia="Times New Roman" w:hAnsi="Arial" w:cs="Arial"/>
                <w:lang w:val="en" w:eastAsia="en-GB"/>
              </w:rPr>
              <w:t>You have the right to opt-out of your</w:t>
            </w:r>
            <w:r w:rsidR="00080D20">
              <w:rPr>
                <w:rFonts w:ascii="Arial" w:eastAsia="Times New Roman" w:hAnsi="Arial" w:cs="Arial"/>
                <w:lang w:val="en" w:eastAsia="en-GB"/>
              </w:rPr>
              <w:t xml:space="preserve"> identifiable</w:t>
            </w:r>
            <w:r>
              <w:rPr>
                <w:rFonts w:ascii="Arial" w:eastAsia="Times New Roman" w:hAnsi="Arial" w:cs="Arial"/>
                <w:lang w:val="en" w:eastAsia="en-GB"/>
              </w:rPr>
              <w:t xml:space="preserve"> information being used for Risk Stratification purposes. </w:t>
            </w:r>
            <w:r w:rsidR="00B54FDA" w:rsidRPr="00B54FDA">
              <w:rPr>
                <w:rFonts w:ascii="Arial" w:eastAsia="Times New Roman" w:hAnsi="Arial" w:cs="Arial"/>
                <w:lang w:val="en" w:eastAsia="en-GB"/>
              </w:rPr>
              <w:t>For information on how to opt-out, please visit our web</w:t>
            </w:r>
            <w:r w:rsidR="00B54FDA">
              <w:rPr>
                <w:rFonts w:ascii="Arial" w:eastAsia="Times New Roman" w:hAnsi="Arial" w:cs="Arial"/>
                <w:lang w:val="en" w:eastAsia="en-GB"/>
              </w:rPr>
              <w:t xml:space="preserve"> page</w:t>
            </w:r>
            <w:r w:rsidR="00B54FDA" w:rsidRPr="00B54FDA">
              <w:rPr>
                <w:rFonts w:ascii="Arial" w:eastAsia="Times New Roman" w:hAnsi="Arial" w:cs="Arial"/>
                <w:lang w:val="en" w:eastAsia="en-GB"/>
              </w:rPr>
              <w:t xml:space="preserve"> </w:t>
            </w:r>
            <w:hyperlink r:id="rId11" w:history="1">
              <w:r w:rsidR="00B54FDA" w:rsidRPr="00B54FDA">
                <w:rPr>
                  <w:rStyle w:val="Hyperlink"/>
                  <w:rFonts w:ascii="Arial" w:eastAsia="Times New Roman" w:hAnsi="Arial" w:cs="Arial"/>
                  <w:lang w:eastAsia="en-GB"/>
                </w:rPr>
                <w:t>Patient Records</w:t>
              </w:r>
            </w:hyperlink>
            <w:r w:rsidR="00B54FDA" w:rsidRPr="00B54FDA">
              <w:rPr>
                <w:rFonts w:ascii="Arial" w:eastAsia="Times New Roman" w:hAnsi="Arial" w:cs="Arial"/>
                <w:lang w:eastAsia="en-GB"/>
              </w:rPr>
              <w:t xml:space="preserve"> and paragraph titled Opting Out.</w:t>
            </w:r>
          </w:p>
        </w:tc>
      </w:tr>
    </w:tbl>
    <w:p w14:paraId="743D7D13" w14:textId="77777777" w:rsidR="007E4B96" w:rsidRPr="007E4B96" w:rsidRDefault="007E4B96">
      <w:pPr>
        <w:rPr>
          <w:sz w:val="28"/>
          <w:szCs w:val="28"/>
        </w:rPr>
      </w:pPr>
    </w:p>
    <w:sectPr w:rsidR="007E4B96" w:rsidRPr="007E4B96" w:rsidSect="00F15657">
      <w:headerReference w:type="default"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ECE56" w14:textId="77777777" w:rsidR="00330282" w:rsidRDefault="00330282" w:rsidP="007E4B96">
      <w:pPr>
        <w:spacing w:after="0" w:line="240" w:lineRule="auto"/>
      </w:pPr>
      <w:r>
        <w:separator/>
      </w:r>
    </w:p>
  </w:endnote>
  <w:endnote w:type="continuationSeparator" w:id="0">
    <w:p w14:paraId="57BF5424" w14:textId="77777777" w:rsidR="00330282" w:rsidRDefault="00330282" w:rsidP="007E4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0D7D1" w14:textId="77777777" w:rsidR="00B54FDA" w:rsidRPr="00F15657" w:rsidRDefault="00B54FDA" w:rsidP="00B54FDA">
    <w:pPr>
      <w:pStyle w:val="Footer"/>
      <w:rPr>
        <w:rFonts w:ascii="Arial" w:hAnsi="Arial" w:cs="Arial"/>
        <w:sz w:val="16"/>
        <w:szCs w:val="16"/>
      </w:rPr>
    </w:pPr>
    <w:r w:rsidRPr="00F15657">
      <w:rPr>
        <w:rFonts w:ascii="Arial" w:hAnsi="Arial" w:cs="Arial"/>
        <w:sz w:val="16"/>
        <w:szCs w:val="16"/>
      </w:rPr>
      <w:t>June 202</w:t>
    </w:r>
    <w:r>
      <w:rPr>
        <w:rFonts w:ascii="Arial" w:hAnsi="Arial" w:cs="Arial"/>
        <w:sz w:val="16"/>
        <w:szCs w:val="16"/>
      </w:rPr>
      <w:t>6</w:t>
    </w:r>
    <w:r w:rsidRPr="00F15657">
      <w:rPr>
        <w:rFonts w:ascii="Arial" w:hAnsi="Arial" w:cs="Arial"/>
        <w:sz w:val="16"/>
        <w:szCs w:val="16"/>
      </w:rPr>
      <w:t>- V</w:t>
    </w:r>
    <w:r>
      <w:rPr>
        <w:rFonts w:ascii="Arial" w:hAnsi="Arial" w:cs="Arial"/>
        <w:sz w:val="16"/>
        <w:szCs w:val="16"/>
      </w:rPr>
      <w:t>2.0</w:t>
    </w:r>
  </w:p>
  <w:p w14:paraId="183B6466" w14:textId="77777777" w:rsidR="00B54FDA" w:rsidRPr="00B54FDA" w:rsidRDefault="00B54FDA" w:rsidP="00B54F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EC239" w14:textId="1E541111" w:rsidR="00F15657" w:rsidRPr="00F15657" w:rsidRDefault="00F15657">
    <w:pPr>
      <w:pStyle w:val="Footer"/>
      <w:rPr>
        <w:rFonts w:ascii="Arial" w:hAnsi="Arial" w:cs="Arial"/>
        <w:sz w:val="16"/>
        <w:szCs w:val="16"/>
      </w:rPr>
    </w:pPr>
    <w:r w:rsidRPr="00F15657">
      <w:rPr>
        <w:rFonts w:ascii="Arial" w:hAnsi="Arial" w:cs="Arial"/>
        <w:sz w:val="16"/>
        <w:szCs w:val="16"/>
      </w:rPr>
      <w:t>June 202</w:t>
    </w:r>
    <w:r w:rsidR="0009440F">
      <w:rPr>
        <w:rFonts w:ascii="Arial" w:hAnsi="Arial" w:cs="Arial"/>
        <w:sz w:val="16"/>
        <w:szCs w:val="16"/>
      </w:rPr>
      <w:t>6</w:t>
    </w:r>
    <w:r w:rsidRPr="00F15657">
      <w:rPr>
        <w:rFonts w:ascii="Arial" w:hAnsi="Arial" w:cs="Arial"/>
        <w:sz w:val="16"/>
        <w:szCs w:val="16"/>
      </w:rPr>
      <w:t>- V</w:t>
    </w:r>
    <w:r w:rsidR="00B54FDA">
      <w:rPr>
        <w:rFonts w:ascii="Arial" w:hAnsi="Arial" w:cs="Arial"/>
        <w:sz w:val="16"/>
        <w:szCs w:val="16"/>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27D78" w14:textId="77777777" w:rsidR="00330282" w:rsidRDefault="00330282" w:rsidP="007E4B96">
      <w:pPr>
        <w:spacing w:after="0" w:line="240" w:lineRule="auto"/>
      </w:pPr>
      <w:r>
        <w:separator/>
      </w:r>
    </w:p>
  </w:footnote>
  <w:footnote w:type="continuationSeparator" w:id="0">
    <w:p w14:paraId="037B8E79" w14:textId="77777777" w:rsidR="00330282" w:rsidRDefault="00330282" w:rsidP="007E4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CEC97" w14:textId="4F0027BA" w:rsidR="007E4B96" w:rsidRPr="00B106EF" w:rsidRDefault="007E4B96" w:rsidP="00B106E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D0406" w14:textId="40F6E570" w:rsidR="00F15657" w:rsidRDefault="00F15657" w:rsidP="00F15657">
    <w:pPr>
      <w:pStyle w:val="Header"/>
      <w:jc w:val="right"/>
    </w:pPr>
    <w:r>
      <w:rPr>
        <w:noProof/>
      </w:rPr>
      <w:drawing>
        <wp:inline distT="0" distB="0" distL="0" distR="0" wp14:anchorId="5ACCD360" wp14:editId="7ED5F3F8">
          <wp:extent cx="2258060" cy="149225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8060" cy="1492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67E0D"/>
    <w:multiLevelType w:val="multilevel"/>
    <w:tmpl w:val="F78A0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A3D82"/>
    <w:multiLevelType w:val="hybridMultilevel"/>
    <w:tmpl w:val="F50697E2"/>
    <w:lvl w:ilvl="0" w:tplc="8586DE7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2A4560"/>
    <w:multiLevelType w:val="multilevel"/>
    <w:tmpl w:val="92204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487B28"/>
    <w:multiLevelType w:val="hybridMultilevel"/>
    <w:tmpl w:val="0B8A31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F67637C"/>
    <w:multiLevelType w:val="hybridMultilevel"/>
    <w:tmpl w:val="AC0A6A88"/>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5" w15:restartNumberingAfterBreak="0">
    <w:nsid w:val="55834ABE"/>
    <w:multiLevelType w:val="multilevel"/>
    <w:tmpl w:val="3C8AF0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97189739">
    <w:abstractNumId w:val="2"/>
  </w:num>
  <w:num w:numId="2" w16cid:durableId="1175269363">
    <w:abstractNumId w:val="0"/>
  </w:num>
  <w:num w:numId="3" w16cid:durableId="1561595222">
    <w:abstractNumId w:val="1"/>
  </w:num>
  <w:num w:numId="4" w16cid:durableId="1479108741">
    <w:abstractNumId w:val="3"/>
  </w:num>
  <w:num w:numId="5" w16cid:durableId="1797871117">
    <w:abstractNumId w:val="5"/>
  </w:num>
  <w:num w:numId="6" w16cid:durableId="20927775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4B96"/>
    <w:rsid w:val="00080D20"/>
    <w:rsid w:val="0009440F"/>
    <w:rsid w:val="0009583B"/>
    <w:rsid w:val="000A7DCC"/>
    <w:rsid w:val="001018E9"/>
    <w:rsid w:val="001136D3"/>
    <w:rsid w:val="00150651"/>
    <w:rsid w:val="001F6D55"/>
    <w:rsid w:val="00277D88"/>
    <w:rsid w:val="002B5DA5"/>
    <w:rsid w:val="002D2F45"/>
    <w:rsid w:val="002E6FED"/>
    <w:rsid w:val="00330282"/>
    <w:rsid w:val="0033130B"/>
    <w:rsid w:val="00383C64"/>
    <w:rsid w:val="003C1522"/>
    <w:rsid w:val="003D6F78"/>
    <w:rsid w:val="003E3340"/>
    <w:rsid w:val="004218BF"/>
    <w:rsid w:val="00461F2C"/>
    <w:rsid w:val="0046467F"/>
    <w:rsid w:val="004775F6"/>
    <w:rsid w:val="00484B65"/>
    <w:rsid w:val="00521473"/>
    <w:rsid w:val="00542FD6"/>
    <w:rsid w:val="00544BE0"/>
    <w:rsid w:val="005A2AEF"/>
    <w:rsid w:val="00650ABC"/>
    <w:rsid w:val="006661B3"/>
    <w:rsid w:val="006A470A"/>
    <w:rsid w:val="006B07AD"/>
    <w:rsid w:val="006F1071"/>
    <w:rsid w:val="006F77D2"/>
    <w:rsid w:val="007450AC"/>
    <w:rsid w:val="0075200D"/>
    <w:rsid w:val="0075433B"/>
    <w:rsid w:val="007565D7"/>
    <w:rsid w:val="007C0B9B"/>
    <w:rsid w:val="007E4B96"/>
    <w:rsid w:val="008B7764"/>
    <w:rsid w:val="008E47E6"/>
    <w:rsid w:val="00931DBE"/>
    <w:rsid w:val="009613B8"/>
    <w:rsid w:val="0096596E"/>
    <w:rsid w:val="00975D3C"/>
    <w:rsid w:val="00981E00"/>
    <w:rsid w:val="00991C38"/>
    <w:rsid w:val="00A353CD"/>
    <w:rsid w:val="00A5269B"/>
    <w:rsid w:val="00A715B5"/>
    <w:rsid w:val="00AD3EED"/>
    <w:rsid w:val="00AD4CAF"/>
    <w:rsid w:val="00B00861"/>
    <w:rsid w:val="00B0208A"/>
    <w:rsid w:val="00B106EF"/>
    <w:rsid w:val="00B32DF7"/>
    <w:rsid w:val="00B43D0C"/>
    <w:rsid w:val="00B50C06"/>
    <w:rsid w:val="00B54FDA"/>
    <w:rsid w:val="00B60607"/>
    <w:rsid w:val="00BB56E7"/>
    <w:rsid w:val="00BB7636"/>
    <w:rsid w:val="00BC2988"/>
    <w:rsid w:val="00C13623"/>
    <w:rsid w:val="00C31054"/>
    <w:rsid w:val="00C44A0F"/>
    <w:rsid w:val="00C746B1"/>
    <w:rsid w:val="00C86DE9"/>
    <w:rsid w:val="00CB3444"/>
    <w:rsid w:val="00CD6BD8"/>
    <w:rsid w:val="00CF6EAE"/>
    <w:rsid w:val="00CF785B"/>
    <w:rsid w:val="00D16415"/>
    <w:rsid w:val="00D508CB"/>
    <w:rsid w:val="00D6333E"/>
    <w:rsid w:val="00DA3EDA"/>
    <w:rsid w:val="00DB4F29"/>
    <w:rsid w:val="00DB61BB"/>
    <w:rsid w:val="00DC0E91"/>
    <w:rsid w:val="00DD50D2"/>
    <w:rsid w:val="00DE5CA8"/>
    <w:rsid w:val="00E26ED3"/>
    <w:rsid w:val="00E3328B"/>
    <w:rsid w:val="00ED6288"/>
    <w:rsid w:val="00EE7B91"/>
    <w:rsid w:val="00F033A2"/>
    <w:rsid w:val="00F15657"/>
    <w:rsid w:val="00FC20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53411"/>
  <w15:docId w15:val="{0976CFA7-DDEF-44B0-B45E-BBDAC6387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4B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4B96"/>
  </w:style>
  <w:style w:type="paragraph" w:styleId="Footer">
    <w:name w:val="footer"/>
    <w:basedOn w:val="Normal"/>
    <w:link w:val="FooterChar"/>
    <w:uiPriority w:val="99"/>
    <w:unhideWhenUsed/>
    <w:rsid w:val="007E4B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4B96"/>
  </w:style>
  <w:style w:type="paragraph" w:styleId="BalloonText">
    <w:name w:val="Balloon Text"/>
    <w:basedOn w:val="Normal"/>
    <w:link w:val="BalloonTextChar"/>
    <w:uiPriority w:val="99"/>
    <w:semiHidden/>
    <w:unhideWhenUsed/>
    <w:rsid w:val="007E4B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B96"/>
    <w:rPr>
      <w:rFonts w:ascii="Tahoma" w:hAnsi="Tahoma" w:cs="Tahoma"/>
      <w:sz w:val="16"/>
      <w:szCs w:val="16"/>
    </w:rPr>
  </w:style>
  <w:style w:type="table" w:styleId="TableGrid">
    <w:name w:val="Table Grid"/>
    <w:basedOn w:val="TableNormal"/>
    <w:uiPriority w:val="59"/>
    <w:rsid w:val="007E4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44A0F"/>
    <w:rPr>
      <w:color w:val="0000FF" w:themeColor="hyperlink"/>
      <w:u w:val="single"/>
    </w:rPr>
  </w:style>
  <w:style w:type="character" w:styleId="CommentReference">
    <w:name w:val="annotation reference"/>
    <w:basedOn w:val="DefaultParagraphFont"/>
    <w:uiPriority w:val="99"/>
    <w:semiHidden/>
    <w:unhideWhenUsed/>
    <w:rsid w:val="00461F2C"/>
    <w:rPr>
      <w:sz w:val="16"/>
      <w:szCs w:val="16"/>
    </w:rPr>
  </w:style>
  <w:style w:type="paragraph" w:styleId="CommentText">
    <w:name w:val="annotation text"/>
    <w:basedOn w:val="Normal"/>
    <w:link w:val="CommentTextChar"/>
    <w:uiPriority w:val="99"/>
    <w:unhideWhenUsed/>
    <w:rsid w:val="00461F2C"/>
    <w:pPr>
      <w:spacing w:line="240" w:lineRule="auto"/>
    </w:pPr>
    <w:rPr>
      <w:sz w:val="20"/>
      <w:szCs w:val="20"/>
    </w:rPr>
  </w:style>
  <w:style w:type="character" w:customStyle="1" w:styleId="CommentTextChar">
    <w:name w:val="Comment Text Char"/>
    <w:basedOn w:val="DefaultParagraphFont"/>
    <w:link w:val="CommentText"/>
    <w:uiPriority w:val="99"/>
    <w:rsid w:val="00461F2C"/>
    <w:rPr>
      <w:sz w:val="20"/>
      <w:szCs w:val="20"/>
    </w:rPr>
  </w:style>
  <w:style w:type="paragraph" w:styleId="CommentSubject">
    <w:name w:val="annotation subject"/>
    <w:basedOn w:val="CommentText"/>
    <w:next w:val="CommentText"/>
    <w:link w:val="CommentSubjectChar"/>
    <w:uiPriority w:val="99"/>
    <w:semiHidden/>
    <w:unhideWhenUsed/>
    <w:rsid w:val="00461F2C"/>
    <w:rPr>
      <w:b/>
      <w:bCs/>
    </w:rPr>
  </w:style>
  <w:style w:type="character" w:customStyle="1" w:styleId="CommentSubjectChar">
    <w:name w:val="Comment Subject Char"/>
    <w:basedOn w:val="CommentTextChar"/>
    <w:link w:val="CommentSubject"/>
    <w:uiPriority w:val="99"/>
    <w:semiHidden/>
    <w:rsid w:val="00461F2C"/>
    <w:rPr>
      <w:b/>
      <w:bCs/>
      <w:sz w:val="20"/>
      <w:szCs w:val="20"/>
    </w:rPr>
  </w:style>
  <w:style w:type="paragraph" w:styleId="ListParagraph">
    <w:name w:val="List Paragraph"/>
    <w:basedOn w:val="Normal"/>
    <w:uiPriority w:val="34"/>
    <w:qFormat/>
    <w:rsid w:val="006F1071"/>
    <w:pPr>
      <w:ind w:left="720"/>
      <w:contextualSpacing/>
    </w:pPr>
  </w:style>
  <w:style w:type="character" w:styleId="UnresolvedMention">
    <w:name w:val="Unresolved Mention"/>
    <w:basedOn w:val="DefaultParagraphFont"/>
    <w:uiPriority w:val="99"/>
    <w:semiHidden/>
    <w:unhideWhenUsed/>
    <w:rsid w:val="00DC0E91"/>
    <w:rPr>
      <w:color w:val="605E5C"/>
      <w:shd w:val="clear" w:color="auto" w:fill="E1DFDD"/>
    </w:rPr>
  </w:style>
  <w:style w:type="character" w:styleId="FollowedHyperlink">
    <w:name w:val="FollowedHyperlink"/>
    <w:basedOn w:val="DefaultParagraphFont"/>
    <w:uiPriority w:val="99"/>
    <w:semiHidden/>
    <w:unhideWhenUsed/>
    <w:rsid w:val="00D16415"/>
    <w:rPr>
      <w:color w:val="800080" w:themeColor="followedHyperlink"/>
      <w:u w:val="single"/>
    </w:rPr>
  </w:style>
  <w:style w:type="paragraph" w:styleId="NormalWeb">
    <w:name w:val="Normal (Web)"/>
    <w:basedOn w:val="Normal"/>
    <w:uiPriority w:val="99"/>
    <w:semiHidden/>
    <w:unhideWhenUsed/>
    <w:rsid w:val="00B0086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248">
      <w:bodyDiv w:val="1"/>
      <w:marLeft w:val="0"/>
      <w:marRight w:val="0"/>
      <w:marTop w:val="0"/>
      <w:marBottom w:val="0"/>
      <w:divBdr>
        <w:top w:val="none" w:sz="0" w:space="0" w:color="auto"/>
        <w:left w:val="none" w:sz="0" w:space="0" w:color="auto"/>
        <w:bottom w:val="none" w:sz="0" w:space="0" w:color="auto"/>
        <w:right w:val="none" w:sz="0" w:space="0" w:color="auto"/>
      </w:divBdr>
    </w:div>
    <w:div w:id="93983266">
      <w:bodyDiv w:val="1"/>
      <w:marLeft w:val="0"/>
      <w:marRight w:val="0"/>
      <w:marTop w:val="0"/>
      <w:marBottom w:val="0"/>
      <w:divBdr>
        <w:top w:val="none" w:sz="0" w:space="0" w:color="auto"/>
        <w:left w:val="none" w:sz="0" w:space="0" w:color="auto"/>
        <w:bottom w:val="none" w:sz="0" w:space="0" w:color="auto"/>
        <w:right w:val="none" w:sz="0" w:space="0" w:color="auto"/>
      </w:divBdr>
    </w:div>
    <w:div w:id="235095619">
      <w:bodyDiv w:val="1"/>
      <w:marLeft w:val="0"/>
      <w:marRight w:val="0"/>
      <w:marTop w:val="0"/>
      <w:marBottom w:val="0"/>
      <w:divBdr>
        <w:top w:val="none" w:sz="0" w:space="0" w:color="auto"/>
        <w:left w:val="none" w:sz="0" w:space="0" w:color="auto"/>
        <w:bottom w:val="none" w:sz="0" w:space="0" w:color="auto"/>
        <w:right w:val="none" w:sz="0" w:space="0" w:color="auto"/>
      </w:divBdr>
    </w:div>
    <w:div w:id="658265782">
      <w:bodyDiv w:val="1"/>
      <w:marLeft w:val="0"/>
      <w:marRight w:val="0"/>
      <w:marTop w:val="0"/>
      <w:marBottom w:val="0"/>
      <w:divBdr>
        <w:top w:val="none" w:sz="0" w:space="0" w:color="auto"/>
        <w:left w:val="none" w:sz="0" w:space="0" w:color="auto"/>
        <w:bottom w:val="none" w:sz="0" w:space="0" w:color="auto"/>
        <w:right w:val="none" w:sz="0" w:space="0" w:color="auto"/>
      </w:divBdr>
    </w:div>
    <w:div w:id="1163736796">
      <w:bodyDiv w:val="1"/>
      <w:marLeft w:val="0"/>
      <w:marRight w:val="0"/>
      <w:marTop w:val="0"/>
      <w:marBottom w:val="0"/>
      <w:divBdr>
        <w:top w:val="none" w:sz="0" w:space="0" w:color="auto"/>
        <w:left w:val="none" w:sz="0" w:space="0" w:color="auto"/>
        <w:bottom w:val="none" w:sz="0" w:space="0" w:color="auto"/>
        <w:right w:val="none" w:sz="0" w:space="0" w:color="auto"/>
      </w:divBdr>
    </w:div>
    <w:div w:id="1239442114">
      <w:bodyDiv w:val="1"/>
      <w:marLeft w:val="0"/>
      <w:marRight w:val="0"/>
      <w:marTop w:val="0"/>
      <w:marBottom w:val="0"/>
      <w:divBdr>
        <w:top w:val="none" w:sz="0" w:space="0" w:color="auto"/>
        <w:left w:val="none" w:sz="0" w:space="0" w:color="auto"/>
        <w:bottom w:val="none" w:sz="0" w:space="0" w:color="auto"/>
        <w:right w:val="none" w:sz="0" w:space="0" w:color="auto"/>
      </w:divBdr>
    </w:div>
    <w:div w:id="1535734632">
      <w:bodyDiv w:val="1"/>
      <w:marLeft w:val="0"/>
      <w:marRight w:val="0"/>
      <w:marTop w:val="0"/>
      <w:marBottom w:val="0"/>
      <w:divBdr>
        <w:top w:val="none" w:sz="0" w:space="0" w:color="auto"/>
        <w:left w:val="none" w:sz="0" w:space="0" w:color="auto"/>
        <w:bottom w:val="none" w:sz="0" w:space="0" w:color="auto"/>
        <w:right w:val="none" w:sz="0" w:space="0" w:color="auto"/>
      </w:divBdr>
    </w:div>
    <w:div w:id="1739471663">
      <w:bodyDiv w:val="1"/>
      <w:marLeft w:val="0"/>
      <w:marRight w:val="0"/>
      <w:marTop w:val="0"/>
      <w:marBottom w:val="0"/>
      <w:divBdr>
        <w:top w:val="none" w:sz="0" w:space="0" w:color="auto"/>
        <w:left w:val="none" w:sz="0" w:space="0" w:color="auto"/>
        <w:bottom w:val="none" w:sz="0" w:space="0" w:color="auto"/>
        <w:right w:val="none" w:sz="0" w:space="0" w:color="auto"/>
      </w:divBdr>
    </w:div>
    <w:div w:id="176857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dpr-info.eu/art-9-gdp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tts.icb.nhs.uk/patient-record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nhsx.nhs.uk/information-governance/guidance/records-management-code/" TargetMode="External"/><Relationship Id="rId4" Type="http://schemas.openxmlformats.org/officeDocument/2006/relationships/settings" Target="settings.xml"/><Relationship Id="rId9" Type="http://schemas.openxmlformats.org/officeDocument/2006/relationships/hyperlink" Target="https://www.hra.nhs.uk/planning-and-improving-research/application-summaries/confidentiality-advisory-group-registers/"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330FC-949F-4ADD-83A8-81FF71E40602}">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5</TotalTime>
  <Pages>1</Pages>
  <Words>693</Words>
  <Characters>3952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Nottinghamshire Health Informatics Service (NHIS)</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jackbro</dc:creator>
  <cp:lastModifiedBy>JACKSON, Bronwyn (NHS NOTTINGHAM AND NOTTINGHAMSHIRE ICB - 52R)</cp:lastModifiedBy>
  <cp:revision>3</cp:revision>
  <dcterms:created xsi:type="dcterms:W3CDTF">2026-06-05T13:14:00Z</dcterms:created>
  <dcterms:modified xsi:type="dcterms:W3CDTF">2026-06-05T13:20:00Z</dcterms:modified>
</cp:coreProperties>
</file>