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DE84" w14:textId="77777777" w:rsidR="00530761" w:rsidRPr="00B72DDB" w:rsidRDefault="00530761" w:rsidP="00102633">
      <w:pPr>
        <w:pStyle w:val="Heading1"/>
        <w:spacing w:line="240" w:lineRule="auto"/>
      </w:pPr>
      <w:bookmarkStart w:id="0" w:name="_Toc343591381"/>
      <w:bookmarkStart w:id="1" w:name="_Toc121924320"/>
      <w:r w:rsidRPr="00B72DDB">
        <w:t>SCHEDULE 2 – THE SERVICES</w:t>
      </w:r>
      <w:bookmarkEnd w:id="0"/>
      <w:bookmarkEnd w:id="1"/>
    </w:p>
    <w:p w14:paraId="492A4146" w14:textId="77777777" w:rsidR="00530761" w:rsidRPr="00B72DDB" w:rsidRDefault="00530761" w:rsidP="00F85778">
      <w:pPr>
        <w:widowControl w:val="0"/>
        <w:spacing w:after="0"/>
        <w:jc w:val="center"/>
        <w:rPr>
          <w:rFonts w:ascii="Arial" w:hAnsi="Arial" w:cs="Arial"/>
          <w:b/>
          <w:bCs/>
          <w:sz w:val="20"/>
        </w:rPr>
      </w:pPr>
    </w:p>
    <w:p w14:paraId="7516F3AB" w14:textId="77777777" w:rsidR="00530761" w:rsidRPr="00B72DDB" w:rsidRDefault="00530761" w:rsidP="00BA38BB">
      <w:pPr>
        <w:pStyle w:val="ListParagraph"/>
        <w:numPr>
          <w:ilvl w:val="0"/>
          <w:numId w:val="5"/>
        </w:numPr>
        <w:ind w:left="0" w:firstLine="0"/>
        <w:contextualSpacing/>
        <w:jc w:val="center"/>
        <w:outlineLvl w:val="1"/>
        <w:rPr>
          <w:rFonts w:ascii="Arial" w:hAnsi="Arial" w:cs="Arial"/>
          <w:b/>
        </w:rPr>
      </w:pPr>
      <w:bookmarkStart w:id="2" w:name="_Toc343591382"/>
      <w:bookmarkStart w:id="3" w:name="_Toc121924321"/>
      <w:r w:rsidRPr="00B72DDB">
        <w:rPr>
          <w:rFonts w:ascii="Arial" w:hAnsi="Arial" w:cs="Arial"/>
          <w:b/>
        </w:rPr>
        <w:t>Service Specifications</w:t>
      </w:r>
      <w:bookmarkEnd w:id="2"/>
      <w:bookmarkEnd w:id="3"/>
    </w:p>
    <w:p w14:paraId="0C8ECDC7" w14:textId="3D69A74F" w:rsidR="00530761" w:rsidRDefault="00530761" w:rsidP="003A4D35">
      <w:pPr>
        <w:shd w:val="clear" w:color="auto" w:fill="FFFFFF" w:themeFill="background1"/>
        <w:spacing w:after="0"/>
        <w:jc w:val="both"/>
        <w:rPr>
          <w:rFonts w:ascii="Arial" w:hAnsi="Arial" w:cs="Arial"/>
          <w:sz w:val="20"/>
        </w:rPr>
      </w:pPr>
    </w:p>
    <w:p w14:paraId="6BC6BC3A" w14:textId="77777777" w:rsidR="00CF7B98" w:rsidRPr="00BE4C05" w:rsidRDefault="00CF7B98" w:rsidP="00CF7B98">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12"/>
        <w:gridCol w:w="5282"/>
      </w:tblGrid>
      <w:tr w:rsidR="00CF7B98" w:rsidRPr="00BE4C05" w14:paraId="2AACAE9B" w14:textId="77777777" w:rsidTr="00FF70FE">
        <w:tc>
          <w:tcPr>
            <w:tcW w:w="2970" w:type="dxa"/>
            <w:shd w:val="clear" w:color="auto" w:fill="auto"/>
          </w:tcPr>
          <w:p w14:paraId="422FEFA3" w14:textId="77777777" w:rsidR="00CF7B98" w:rsidRPr="00BE4C05" w:rsidRDefault="00CF7B98" w:rsidP="00FF70FE">
            <w:pPr>
              <w:spacing w:after="0"/>
              <w:rPr>
                <w:rFonts w:ascii="Arial" w:hAnsi="Arial" w:cs="Arial"/>
                <w:b/>
                <w:sz w:val="20"/>
              </w:rPr>
            </w:pPr>
            <w:r w:rsidRPr="00BE4C05">
              <w:rPr>
                <w:rFonts w:ascii="Arial" w:hAnsi="Arial" w:cs="Arial"/>
                <w:b/>
                <w:sz w:val="20"/>
              </w:rPr>
              <w:t>Service Specification No.</w:t>
            </w:r>
          </w:p>
        </w:tc>
        <w:tc>
          <w:tcPr>
            <w:tcW w:w="5444" w:type="dxa"/>
            <w:shd w:val="clear" w:color="auto" w:fill="auto"/>
          </w:tcPr>
          <w:p w14:paraId="44090FB7" w14:textId="77777777" w:rsidR="00CF7B98" w:rsidRPr="00BE4C05" w:rsidRDefault="00CF7B98" w:rsidP="00FF70FE">
            <w:pPr>
              <w:spacing w:after="0"/>
              <w:rPr>
                <w:rFonts w:ascii="Arial" w:hAnsi="Arial" w:cs="Arial"/>
                <w:sz w:val="20"/>
              </w:rPr>
            </w:pPr>
          </w:p>
        </w:tc>
      </w:tr>
      <w:tr w:rsidR="00CF7B98" w:rsidRPr="00BE4C05" w14:paraId="5B4A1D34" w14:textId="77777777" w:rsidTr="00FF70FE">
        <w:tc>
          <w:tcPr>
            <w:tcW w:w="2970" w:type="dxa"/>
            <w:shd w:val="clear" w:color="auto" w:fill="auto"/>
          </w:tcPr>
          <w:p w14:paraId="3DB342F4" w14:textId="77777777" w:rsidR="00CF7B98" w:rsidRPr="00BE4C05" w:rsidRDefault="00CF7B98" w:rsidP="00FF70FE">
            <w:pPr>
              <w:spacing w:after="0"/>
              <w:rPr>
                <w:rFonts w:ascii="Arial" w:hAnsi="Arial" w:cs="Arial"/>
                <w:b/>
                <w:sz w:val="20"/>
              </w:rPr>
            </w:pPr>
            <w:r w:rsidRPr="00BE4C05">
              <w:rPr>
                <w:rFonts w:ascii="Arial" w:hAnsi="Arial" w:cs="Arial"/>
                <w:b/>
                <w:sz w:val="20"/>
              </w:rPr>
              <w:t>Service</w:t>
            </w:r>
          </w:p>
        </w:tc>
        <w:tc>
          <w:tcPr>
            <w:tcW w:w="5444" w:type="dxa"/>
            <w:shd w:val="clear" w:color="auto" w:fill="auto"/>
          </w:tcPr>
          <w:p w14:paraId="211C71E5" w14:textId="77777777" w:rsidR="00CF7B98" w:rsidRPr="00BE4C05" w:rsidRDefault="00CF7B98" w:rsidP="00FF70FE">
            <w:pPr>
              <w:spacing w:after="0"/>
              <w:rPr>
                <w:rFonts w:ascii="Arial" w:hAnsi="Arial" w:cs="Arial"/>
                <w:sz w:val="20"/>
              </w:rPr>
            </w:pPr>
            <w:r w:rsidRPr="00BE4C05">
              <w:rPr>
                <w:rFonts w:ascii="Arial" w:eastAsia="Times New Roman" w:hAnsi="Arial" w:cs="Arial"/>
                <w:sz w:val="20"/>
              </w:rPr>
              <w:t>Nottingham Community Muskuloskeletal Service</w:t>
            </w:r>
          </w:p>
        </w:tc>
      </w:tr>
      <w:tr w:rsidR="00CF7B98" w:rsidRPr="00BE4C05" w14:paraId="0C466B2B" w14:textId="77777777" w:rsidTr="00FF70FE">
        <w:tc>
          <w:tcPr>
            <w:tcW w:w="2970" w:type="dxa"/>
            <w:shd w:val="clear" w:color="auto" w:fill="auto"/>
          </w:tcPr>
          <w:p w14:paraId="454F4AE0" w14:textId="77777777" w:rsidR="00CF7B98" w:rsidRPr="00BE4C05" w:rsidRDefault="00CF7B98" w:rsidP="00FF70FE">
            <w:pPr>
              <w:spacing w:after="0"/>
              <w:rPr>
                <w:rFonts w:ascii="Arial" w:hAnsi="Arial" w:cs="Arial"/>
                <w:b/>
                <w:sz w:val="20"/>
              </w:rPr>
            </w:pPr>
            <w:r w:rsidRPr="00BE4C05">
              <w:rPr>
                <w:rFonts w:ascii="Arial" w:hAnsi="Arial" w:cs="Arial"/>
                <w:b/>
                <w:sz w:val="20"/>
              </w:rPr>
              <w:t>Commissioner Lead</w:t>
            </w:r>
          </w:p>
        </w:tc>
        <w:tc>
          <w:tcPr>
            <w:tcW w:w="5444" w:type="dxa"/>
            <w:shd w:val="clear" w:color="auto" w:fill="auto"/>
          </w:tcPr>
          <w:p w14:paraId="0DF85E4D" w14:textId="43947725" w:rsidR="00CF7B98" w:rsidRPr="00BE4C05" w:rsidRDefault="00CF7B98" w:rsidP="00FF70FE">
            <w:pPr>
              <w:spacing w:after="0"/>
              <w:rPr>
                <w:rFonts w:ascii="Arial" w:hAnsi="Arial" w:cs="Arial"/>
                <w:sz w:val="20"/>
              </w:rPr>
            </w:pPr>
            <w:r w:rsidRPr="00BE4C05">
              <w:rPr>
                <w:rFonts w:ascii="Arial" w:eastAsia="Times New Roman" w:hAnsi="Arial" w:cs="Arial"/>
                <w:sz w:val="20"/>
              </w:rPr>
              <w:t xml:space="preserve">NHS Nottingham &amp; Nottinghamshire </w:t>
            </w:r>
            <w:r w:rsidR="007B7632">
              <w:rPr>
                <w:rFonts w:ascii="Arial" w:eastAsia="Times New Roman" w:hAnsi="Arial" w:cs="Arial"/>
                <w:sz w:val="20"/>
              </w:rPr>
              <w:t>ICB</w:t>
            </w:r>
          </w:p>
        </w:tc>
      </w:tr>
      <w:tr w:rsidR="00CF7B98" w:rsidRPr="00BE4C05" w14:paraId="40BC49BB" w14:textId="77777777" w:rsidTr="00FF70FE">
        <w:tc>
          <w:tcPr>
            <w:tcW w:w="2970" w:type="dxa"/>
            <w:shd w:val="clear" w:color="auto" w:fill="auto"/>
          </w:tcPr>
          <w:p w14:paraId="048A1722" w14:textId="77777777" w:rsidR="00CF7B98" w:rsidRPr="00BE4C05" w:rsidRDefault="00CF7B98" w:rsidP="00FF70FE">
            <w:pPr>
              <w:spacing w:after="0"/>
              <w:rPr>
                <w:rFonts w:ascii="Arial" w:hAnsi="Arial" w:cs="Arial"/>
                <w:b/>
                <w:sz w:val="20"/>
              </w:rPr>
            </w:pPr>
            <w:r w:rsidRPr="00BE4C05">
              <w:rPr>
                <w:rFonts w:ascii="Arial" w:hAnsi="Arial" w:cs="Arial"/>
                <w:b/>
                <w:sz w:val="20"/>
              </w:rPr>
              <w:t>Provider Lead</w:t>
            </w:r>
          </w:p>
        </w:tc>
        <w:tc>
          <w:tcPr>
            <w:tcW w:w="5444" w:type="dxa"/>
            <w:shd w:val="clear" w:color="auto" w:fill="auto"/>
          </w:tcPr>
          <w:p w14:paraId="40A623E8" w14:textId="77777777" w:rsidR="00CF7B98" w:rsidRPr="00BE4C05" w:rsidRDefault="00CF7B98" w:rsidP="00FF70FE">
            <w:pPr>
              <w:spacing w:after="0"/>
              <w:rPr>
                <w:rFonts w:ascii="Arial" w:hAnsi="Arial" w:cs="Arial"/>
                <w:sz w:val="20"/>
              </w:rPr>
            </w:pPr>
          </w:p>
        </w:tc>
      </w:tr>
      <w:tr w:rsidR="00CF7B98" w:rsidRPr="00BE4C05" w14:paraId="5793CCEC" w14:textId="77777777" w:rsidTr="00FF70FE">
        <w:tc>
          <w:tcPr>
            <w:tcW w:w="2970" w:type="dxa"/>
            <w:shd w:val="clear" w:color="auto" w:fill="auto"/>
          </w:tcPr>
          <w:p w14:paraId="12656B98" w14:textId="77777777" w:rsidR="00CF7B98" w:rsidRPr="00BE4C05" w:rsidRDefault="00CF7B98" w:rsidP="00FF70FE">
            <w:pPr>
              <w:spacing w:after="0"/>
              <w:rPr>
                <w:rFonts w:ascii="Arial" w:hAnsi="Arial" w:cs="Arial"/>
                <w:b/>
                <w:sz w:val="20"/>
              </w:rPr>
            </w:pPr>
            <w:r w:rsidRPr="00BE4C05">
              <w:rPr>
                <w:rFonts w:ascii="Arial" w:hAnsi="Arial" w:cs="Arial"/>
                <w:b/>
                <w:sz w:val="20"/>
              </w:rPr>
              <w:t>Period</w:t>
            </w:r>
          </w:p>
        </w:tc>
        <w:tc>
          <w:tcPr>
            <w:tcW w:w="5444" w:type="dxa"/>
            <w:shd w:val="clear" w:color="auto" w:fill="auto"/>
          </w:tcPr>
          <w:p w14:paraId="6C3565EB" w14:textId="03B46032" w:rsidR="00CF7B98" w:rsidRPr="007B7632" w:rsidRDefault="007B7632" w:rsidP="00FF70FE">
            <w:pPr>
              <w:spacing w:after="0"/>
              <w:rPr>
                <w:rFonts w:ascii="Arial" w:hAnsi="Arial" w:cs="Arial"/>
                <w:sz w:val="20"/>
              </w:rPr>
            </w:pPr>
            <w:r w:rsidRPr="007B7632">
              <w:rPr>
                <w:rFonts w:ascii="Arial" w:hAnsi="Arial" w:cs="Arial"/>
                <w:sz w:val="20"/>
              </w:rPr>
              <w:t>1</w:t>
            </w:r>
            <w:r w:rsidRPr="007B7632">
              <w:rPr>
                <w:rFonts w:ascii="Arial" w:hAnsi="Arial" w:cs="Arial"/>
                <w:sz w:val="20"/>
                <w:vertAlign w:val="superscript"/>
              </w:rPr>
              <w:t>st</w:t>
            </w:r>
            <w:r w:rsidRPr="007B7632">
              <w:rPr>
                <w:rFonts w:ascii="Arial" w:hAnsi="Arial" w:cs="Arial"/>
                <w:sz w:val="20"/>
              </w:rPr>
              <w:t xml:space="preserve"> April 2022 to 31</w:t>
            </w:r>
            <w:r w:rsidRPr="007B7632">
              <w:rPr>
                <w:rFonts w:ascii="Arial" w:hAnsi="Arial" w:cs="Arial"/>
                <w:sz w:val="20"/>
                <w:vertAlign w:val="superscript"/>
              </w:rPr>
              <w:t>st</w:t>
            </w:r>
            <w:r w:rsidRPr="007B7632">
              <w:rPr>
                <w:rFonts w:ascii="Arial" w:hAnsi="Arial" w:cs="Arial"/>
                <w:sz w:val="20"/>
              </w:rPr>
              <w:t xml:space="preserve"> March 2024</w:t>
            </w:r>
          </w:p>
        </w:tc>
      </w:tr>
      <w:tr w:rsidR="00CF7B98" w:rsidRPr="00BE4C05" w14:paraId="4A79D76E" w14:textId="77777777" w:rsidTr="00FF70FE">
        <w:tc>
          <w:tcPr>
            <w:tcW w:w="2970" w:type="dxa"/>
            <w:shd w:val="clear" w:color="auto" w:fill="auto"/>
          </w:tcPr>
          <w:p w14:paraId="5C2970F2" w14:textId="77777777" w:rsidR="00CF7B98" w:rsidRPr="00BE4C05" w:rsidRDefault="00CF7B98" w:rsidP="00FF70FE">
            <w:pPr>
              <w:spacing w:after="0"/>
              <w:rPr>
                <w:rFonts w:ascii="Arial" w:hAnsi="Arial" w:cs="Arial"/>
                <w:b/>
                <w:sz w:val="20"/>
              </w:rPr>
            </w:pPr>
            <w:r w:rsidRPr="00BE4C05">
              <w:rPr>
                <w:rFonts w:ascii="Arial" w:hAnsi="Arial" w:cs="Arial"/>
                <w:b/>
                <w:sz w:val="20"/>
              </w:rPr>
              <w:t>Date of Review</w:t>
            </w:r>
          </w:p>
        </w:tc>
        <w:tc>
          <w:tcPr>
            <w:tcW w:w="5444" w:type="dxa"/>
            <w:shd w:val="clear" w:color="auto" w:fill="auto"/>
          </w:tcPr>
          <w:p w14:paraId="3CDECD61" w14:textId="317EE805" w:rsidR="00CF7B98" w:rsidRPr="00BE4C05" w:rsidRDefault="00B7683E" w:rsidP="00FF70FE">
            <w:pPr>
              <w:spacing w:after="0"/>
              <w:rPr>
                <w:rFonts w:ascii="Arial" w:hAnsi="Arial" w:cs="Arial"/>
                <w:i/>
                <w:sz w:val="20"/>
              </w:rPr>
            </w:pPr>
            <w:r>
              <w:rPr>
                <w:rFonts w:ascii="Arial" w:hAnsi="Arial" w:cs="Arial"/>
                <w:i/>
                <w:sz w:val="20"/>
              </w:rPr>
              <w:t>By March 2024</w:t>
            </w:r>
          </w:p>
        </w:tc>
      </w:tr>
    </w:tbl>
    <w:p w14:paraId="3F4A84F5" w14:textId="77777777" w:rsidR="00CF7B98" w:rsidRPr="00BE4C05" w:rsidRDefault="00CF7B98" w:rsidP="00CF7B98">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CF7B98" w:rsidRPr="00BE4C05" w14:paraId="067EBB6C" w14:textId="77777777" w:rsidTr="00FF70FE">
        <w:tc>
          <w:tcPr>
            <w:tcW w:w="8414" w:type="dxa"/>
            <w:shd w:val="clear" w:color="auto" w:fill="auto"/>
          </w:tcPr>
          <w:p w14:paraId="28DB775C" w14:textId="77777777" w:rsidR="00CF7B98" w:rsidRPr="00BE4C05" w:rsidRDefault="00CF7B98" w:rsidP="00FF70FE">
            <w:pPr>
              <w:spacing w:after="0"/>
              <w:rPr>
                <w:rFonts w:ascii="Arial" w:hAnsi="Arial" w:cs="Arial"/>
                <w:b/>
                <w:sz w:val="20"/>
              </w:rPr>
            </w:pPr>
            <w:r w:rsidRPr="00BE4C05">
              <w:rPr>
                <w:rFonts w:ascii="Arial" w:hAnsi="Arial" w:cs="Arial"/>
                <w:b/>
                <w:sz w:val="20"/>
              </w:rPr>
              <w:t>1.</w:t>
            </w:r>
            <w:r w:rsidRPr="00BE4C05">
              <w:rPr>
                <w:rFonts w:ascii="Arial" w:hAnsi="Arial" w:cs="Arial"/>
                <w:b/>
                <w:sz w:val="20"/>
              </w:rPr>
              <w:tab/>
              <w:t>Population Needs</w:t>
            </w:r>
          </w:p>
        </w:tc>
      </w:tr>
      <w:tr w:rsidR="00CF7B98" w:rsidRPr="00BE4C05" w14:paraId="40B13495" w14:textId="77777777" w:rsidTr="00FF70FE">
        <w:tc>
          <w:tcPr>
            <w:tcW w:w="8414" w:type="dxa"/>
            <w:shd w:val="clear" w:color="auto" w:fill="auto"/>
          </w:tcPr>
          <w:p w14:paraId="46E8DE26" w14:textId="77777777" w:rsidR="00CF7B98" w:rsidRPr="00BE4C05" w:rsidRDefault="00CF7B98" w:rsidP="00FF70FE">
            <w:pPr>
              <w:spacing w:after="0"/>
              <w:ind w:left="360"/>
              <w:rPr>
                <w:rFonts w:ascii="Arial" w:hAnsi="Arial" w:cs="Arial"/>
                <w:sz w:val="20"/>
              </w:rPr>
            </w:pPr>
          </w:p>
          <w:p w14:paraId="6E9F2F52" w14:textId="77777777" w:rsidR="00CF7B98" w:rsidRPr="00BE4C05" w:rsidRDefault="00CF7B98" w:rsidP="007551BF">
            <w:pPr>
              <w:numPr>
                <w:ilvl w:val="1"/>
                <w:numId w:val="16"/>
              </w:numPr>
              <w:spacing w:after="0"/>
              <w:rPr>
                <w:rFonts w:ascii="Arial" w:hAnsi="Arial" w:cs="Arial"/>
                <w:b/>
                <w:sz w:val="20"/>
              </w:rPr>
            </w:pPr>
            <w:r w:rsidRPr="00BE4C05">
              <w:rPr>
                <w:rFonts w:ascii="Arial" w:hAnsi="Arial" w:cs="Arial"/>
                <w:b/>
                <w:sz w:val="20"/>
              </w:rPr>
              <w:tab/>
              <w:t>National/local context and evidence base</w:t>
            </w:r>
          </w:p>
          <w:p w14:paraId="6BE73C9F"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Musculoskeletal conditions are often progressive and can often be a major cause of pain, disability and ill-health.  Over 200 musculoskeletal conditions affect millions of people including adults, children and other people ranging from all forms of arthritis, back pain and osteoporosis and often the most common reason for repeat consultations with a GP, making up to 30% of primary care consultations (Department of Health, 2006).</w:t>
            </w:r>
          </w:p>
          <w:p w14:paraId="210D85E4" w14:textId="77777777" w:rsidR="00CF7B98" w:rsidRPr="00BE4C05" w:rsidRDefault="00CF7B98" w:rsidP="00FF70FE">
            <w:pPr>
              <w:spacing w:after="0"/>
              <w:rPr>
                <w:rFonts w:ascii="Arial" w:eastAsia="Times New Roman" w:hAnsi="Arial" w:cs="Arial"/>
                <w:sz w:val="20"/>
              </w:rPr>
            </w:pPr>
          </w:p>
          <w:p w14:paraId="1ED6457C"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Nottinghamshire County Joint Strategic Needs Assessment (JSNA, 2008) identified diseases of the musculoskeletal system and connective tissue as one of the top ten admissions to hospitals in Nottinghamshire, estimate to be 10% higher than the England average of 7.4%.  An estimated 47,300 people (all ages) and 238,400 (all 20+ adults) in Nottinghamshire are believed to be affected with arthritis and back pain respectively.</w:t>
            </w:r>
          </w:p>
          <w:p w14:paraId="1D346EBB" w14:textId="77777777" w:rsidR="00CF7B98" w:rsidRPr="00BE4C05" w:rsidRDefault="00CF7B98" w:rsidP="00FF70FE">
            <w:pPr>
              <w:spacing w:after="0"/>
              <w:rPr>
                <w:rFonts w:ascii="Arial" w:eastAsia="Times New Roman" w:hAnsi="Arial" w:cs="Arial"/>
                <w:sz w:val="20"/>
              </w:rPr>
            </w:pPr>
          </w:p>
          <w:p w14:paraId="7F88B6C0"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prevalence of musculoskeletal conditions generally rise with age and with an estimated significant growth in all age bands from 65-69 onwards population in Nottinghamshire County (JSNA, 2008), there is likely to be a potential increase in the number of older people who will be affected with musculoskeletal conditions such as osteoarthritis and osteoporosis, with an expected increase in the prevalence of falls among older people.</w:t>
            </w:r>
          </w:p>
          <w:p w14:paraId="3AD7D425" w14:textId="77777777" w:rsidR="00CF7B98" w:rsidRPr="00BE4C05" w:rsidRDefault="00CF7B98" w:rsidP="00FF70FE">
            <w:pPr>
              <w:spacing w:after="0"/>
              <w:rPr>
                <w:rFonts w:ascii="Arial" w:eastAsia="Times New Roman" w:hAnsi="Arial" w:cs="Arial"/>
                <w:sz w:val="20"/>
              </w:rPr>
            </w:pPr>
          </w:p>
          <w:p w14:paraId="04F2549B"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To improve care and outcomes for people with musculoskeletal conditions, the Department of Health has developed and published the Musculoskeletal Services Framework (Department of Health, 2006).  The Musculoskeletal Service Framework (MSF) vision is that people with musculoskeletal conditions can access high-quality, effective and timely advice, assessment, diagnosis and treatment to enable them to fulfil their optimum health potential and remain independent.  This will be accomplished through systematically planned services, based on the service user journey, and with integrated multidisciplinary working across the health economy.  This vision of preventing ill health, ensuring timely access to services, proving convenient care closer to home, rapid access to diagnostics are echoed in High Quality Care for All (Darzi 2008).</w:t>
            </w:r>
          </w:p>
          <w:p w14:paraId="5FA46485" w14:textId="77777777" w:rsidR="00CF7B98" w:rsidRPr="00BE4C05" w:rsidRDefault="00CF7B98" w:rsidP="00FF70FE">
            <w:pPr>
              <w:spacing w:after="0"/>
              <w:rPr>
                <w:rFonts w:ascii="Arial" w:hAnsi="Arial" w:cs="Arial"/>
                <w:sz w:val="20"/>
              </w:rPr>
            </w:pPr>
          </w:p>
        </w:tc>
      </w:tr>
    </w:tbl>
    <w:p w14:paraId="693B120A" w14:textId="77777777" w:rsidR="00CF7B98" w:rsidRPr="00BE4C05" w:rsidRDefault="00CF7B98" w:rsidP="00CF7B98">
      <w:pPr>
        <w:spacing w:after="0"/>
        <w:rPr>
          <w:rFonts w:ascii="Arial" w:hAnsi="Arial" w:cs="Arial"/>
          <w:sz w:val="20"/>
        </w:rPr>
      </w:pPr>
      <w:r w:rsidRPr="00BE4C05">
        <w:rPr>
          <w:rFonts w:ascii="Arial" w:hAnsi="Arial" w:cs="Arial"/>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CF7B98" w:rsidRPr="00BE4C05" w14:paraId="3FC82A7C" w14:textId="77777777" w:rsidTr="00FF70FE">
        <w:tc>
          <w:tcPr>
            <w:tcW w:w="8414" w:type="dxa"/>
            <w:shd w:val="clear" w:color="auto" w:fill="auto"/>
          </w:tcPr>
          <w:p w14:paraId="1A3008A4" w14:textId="77777777" w:rsidR="00CF7B98" w:rsidRPr="00BE4C05" w:rsidRDefault="00CF7B98" w:rsidP="00FF70FE">
            <w:pPr>
              <w:spacing w:after="0"/>
              <w:rPr>
                <w:rFonts w:ascii="Arial" w:hAnsi="Arial" w:cs="Arial"/>
                <w:b/>
                <w:sz w:val="20"/>
              </w:rPr>
            </w:pPr>
            <w:r w:rsidRPr="00BE4C05">
              <w:rPr>
                <w:rFonts w:ascii="Arial" w:hAnsi="Arial" w:cs="Arial"/>
                <w:b/>
                <w:sz w:val="20"/>
              </w:rPr>
              <w:lastRenderedPageBreak/>
              <w:t>2.</w:t>
            </w:r>
            <w:r w:rsidRPr="00BE4C05">
              <w:rPr>
                <w:rFonts w:ascii="Arial" w:hAnsi="Arial" w:cs="Arial"/>
                <w:b/>
                <w:sz w:val="20"/>
              </w:rPr>
              <w:tab/>
              <w:t>Outcomes</w:t>
            </w:r>
          </w:p>
        </w:tc>
      </w:tr>
      <w:tr w:rsidR="00CF7B98" w:rsidRPr="00BE4C05" w14:paraId="2553D580" w14:textId="77777777" w:rsidTr="00FF70FE">
        <w:tc>
          <w:tcPr>
            <w:tcW w:w="8414" w:type="dxa"/>
            <w:shd w:val="clear" w:color="auto" w:fill="auto"/>
          </w:tcPr>
          <w:p w14:paraId="7D12A5A5" w14:textId="77777777" w:rsidR="00CF7B98" w:rsidRPr="00BE4C05" w:rsidRDefault="00CF7B98" w:rsidP="00FF70FE">
            <w:pPr>
              <w:spacing w:after="0"/>
              <w:rPr>
                <w:rFonts w:ascii="Arial" w:hAnsi="Arial" w:cs="Arial"/>
                <w:b/>
                <w:sz w:val="20"/>
              </w:rPr>
            </w:pPr>
          </w:p>
          <w:p w14:paraId="4F699989" w14:textId="77777777" w:rsidR="00CF7B98" w:rsidRPr="00BE4C05" w:rsidRDefault="00CF7B98" w:rsidP="00FF70FE">
            <w:pPr>
              <w:spacing w:after="0"/>
              <w:rPr>
                <w:rFonts w:ascii="Arial" w:hAnsi="Arial" w:cs="Arial"/>
                <w:b/>
                <w:sz w:val="20"/>
              </w:rPr>
            </w:pPr>
            <w:r w:rsidRPr="00BE4C05">
              <w:rPr>
                <w:rFonts w:ascii="Arial" w:hAnsi="Arial" w:cs="Arial"/>
                <w:b/>
                <w:sz w:val="20"/>
              </w:rPr>
              <w:t>2.1</w:t>
            </w:r>
            <w:r w:rsidRPr="00BE4C05">
              <w:rPr>
                <w:rFonts w:ascii="Arial" w:hAnsi="Arial" w:cs="Arial"/>
                <w:b/>
                <w:sz w:val="20"/>
              </w:rPr>
              <w:tab/>
            </w:r>
            <w:r w:rsidRPr="00BE4C05">
              <w:rPr>
                <w:rFonts w:ascii="Arial" w:hAnsi="Arial" w:cs="Arial"/>
                <w:b/>
                <w:sz w:val="20"/>
                <w:u w:val="single"/>
              </w:rPr>
              <w:t>NHS Outcomes Framework Domains &amp; Indicators</w:t>
            </w:r>
          </w:p>
          <w:p w14:paraId="2133FA82" w14:textId="77777777" w:rsidR="00CF7B98" w:rsidRPr="00BE4C05" w:rsidRDefault="00CF7B98" w:rsidP="00FF70FE">
            <w:pPr>
              <w:spacing w:after="0"/>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1"/>
              <w:gridCol w:w="5340"/>
              <w:gridCol w:w="629"/>
            </w:tblGrid>
            <w:tr w:rsidR="00CF7B98" w:rsidRPr="00BE4C05" w14:paraId="3E25273F" w14:textId="77777777" w:rsidTr="00FF70FE">
              <w:trPr>
                <w:tblHeader/>
              </w:trPr>
              <w:tc>
                <w:tcPr>
                  <w:tcW w:w="1276" w:type="dxa"/>
                </w:tcPr>
                <w:p w14:paraId="621E099E" w14:textId="77777777" w:rsidR="00CF7B98" w:rsidRPr="00BE4C05" w:rsidRDefault="00CF7B98" w:rsidP="00FF70FE">
                  <w:pPr>
                    <w:rPr>
                      <w:rFonts w:ascii="Arial" w:hAnsi="Arial" w:cs="Arial"/>
                      <w:b/>
                      <w:sz w:val="20"/>
                    </w:rPr>
                  </w:pPr>
                  <w:r w:rsidRPr="00BE4C05">
                    <w:rPr>
                      <w:rFonts w:ascii="Arial" w:hAnsi="Arial" w:cs="Arial"/>
                      <w:b/>
                      <w:sz w:val="20"/>
                    </w:rPr>
                    <w:t>Domain 1</w:t>
                  </w:r>
                </w:p>
              </w:tc>
              <w:tc>
                <w:tcPr>
                  <w:tcW w:w="5528" w:type="dxa"/>
                </w:tcPr>
                <w:p w14:paraId="3563DBAC" w14:textId="77777777" w:rsidR="00CF7B98" w:rsidRPr="00BE4C05" w:rsidRDefault="00CF7B98" w:rsidP="00FF70FE">
                  <w:pPr>
                    <w:rPr>
                      <w:rFonts w:ascii="Arial" w:hAnsi="Arial" w:cs="Arial"/>
                      <w:b/>
                      <w:sz w:val="20"/>
                    </w:rPr>
                  </w:pPr>
                  <w:r w:rsidRPr="00BE4C05">
                    <w:rPr>
                      <w:rFonts w:ascii="Arial" w:hAnsi="Arial" w:cs="Arial"/>
                      <w:b/>
                      <w:sz w:val="20"/>
                    </w:rPr>
                    <w:t>Preventing people from dying prematurely</w:t>
                  </w:r>
                </w:p>
              </w:tc>
              <w:tc>
                <w:tcPr>
                  <w:tcW w:w="641" w:type="dxa"/>
                </w:tcPr>
                <w:p w14:paraId="52EF3731" w14:textId="77777777" w:rsidR="00CF7B98" w:rsidRPr="00BE4C05" w:rsidRDefault="00CF7B98" w:rsidP="00FF70FE">
                  <w:pPr>
                    <w:rPr>
                      <w:rFonts w:ascii="Arial" w:hAnsi="Arial" w:cs="Arial"/>
                      <w:b/>
                      <w:sz w:val="20"/>
                    </w:rPr>
                  </w:pPr>
                </w:p>
              </w:tc>
            </w:tr>
            <w:tr w:rsidR="00CF7B98" w:rsidRPr="00BE4C05" w14:paraId="3AE72A05" w14:textId="77777777" w:rsidTr="00FF70FE">
              <w:tc>
                <w:tcPr>
                  <w:tcW w:w="1276" w:type="dxa"/>
                </w:tcPr>
                <w:p w14:paraId="325F6A90" w14:textId="77777777" w:rsidR="00CF7B98" w:rsidRPr="00BE4C05" w:rsidRDefault="00CF7B98" w:rsidP="00FF70FE">
                  <w:pPr>
                    <w:rPr>
                      <w:rFonts w:ascii="Arial" w:hAnsi="Arial" w:cs="Arial"/>
                      <w:b/>
                      <w:sz w:val="20"/>
                    </w:rPr>
                  </w:pPr>
                  <w:r w:rsidRPr="00BE4C05">
                    <w:rPr>
                      <w:rFonts w:ascii="Arial" w:hAnsi="Arial" w:cs="Arial"/>
                      <w:b/>
                      <w:sz w:val="20"/>
                    </w:rPr>
                    <w:t>Domain 2</w:t>
                  </w:r>
                </w:p>
              </w:tc>
              <w:tc>
                <w:tcPr>
                  <w:tcW w:w="5528" w:type="dxa"/>
                </w:tcPr>
                <w:p w14:paraId="1187E584" w14:textId="77777777" w:rsidR="00CF7B98" w:rsidRPr="00BE4C05" w:rsidRDefault="00CF7B98" w:rsidP="00FF70FE">
                  <w:pPr>
                    <w:rPr>
                      <w:rFonts w:ascii="Arial" w:hAnsi="Arial" w:cs="Arial"/>
                      <w:b/>
                      <w:sz w:val="20"/>
                    </w:rPr>
                  </w:pPr>
                  <w:r w:rsidRPr="00BE4C05">
                    <w:rPr>
                      <w:rFonts w:ascii="Arial" w:hAnsi="Arial" w:cs="Arial"/>
                      <w:b/>
                      <w:sz w:val="20"/>
                    </w:rPr>
                    <w:t>Enhancing quality of life for people with long-term conditions</w:t>
                  </w:r>
                </w:p>
              </w:tc>
              <w:tc>
                <w:tcPr>
                  <w:tcW w:w="641" w:type="dxa"/>
                </w:tcPr>
                <w:p w14:paraId="257CAC35" w14:textId="77777777" w:rsidR="00CF7B98" w:rsidRPr="00BE4C05" w:rsidRDefault="00CF7B98" w:rsidP="00FF70FE">
                  <w:pPr>
                    <w:rPr>
                      <w:rFonts w:ascii="Arial" w:hAnsi="Arial" w:cs="Arial"/>
                      <w:b/>
                      <w:sz w:val="20"/>
                    </w:rPr>
                  </w:pPr>
                  <w:r w:rsidRPr="00BE4C05">
                    <w:rPr>
                      <w:rFonts w:ascii="Arial" w:hAnsi="Arial" w:cs="Arial"/>
                      <w:b/>
                      <w:sz w:val="20"/>
                    </w:rPr>
                    <w:sym w:font="Wingdings" w:char="F0FC"/>
                  </w:r>
                </w:p>
              </w:tc>
            </w:tr>
            <w:tr w:rsidR="00CF7B98" w:rsidRPr="00BE4C05" w14:paraId="67F9961E" w14:textId="77777777" w:rsidTr="00FF70FE">
              <w:tc>
                <w:tcPr>
                  <w:tcW w:w="1276" w:type="dxa"/>
                </w:tcPr>
                <w:p w14:paraId="5143E791" w14:textId="77777777" w:rsidR="00CF7B98" w:rsidRPr="00BE4C05" w:rsidRDefault="00CF7B98" w:rsidP="00FF70FE">
                  <w:pPr>
                    <w:rPr>
                      <w:rFonts w:ascii="Arial" w:hAnsi="Arial" w:cs="Arial"/>
                      <w:b/>
                      <w:sz w:val="20"/>
                    </w:rPr>
                  </w:pPr>
                  <w:r w:rsidRPr="00BE4C05">
                    <w:rPr>
                      <w:rFonts w:ascii="Arial" w:hAnsi="Arial" w:cs="Arial"/>
                      <w:b/>
                      <w:sz w:val="20"/>
                    </w:rPr>
                    <w:t>Domain 3</w:t>
                  </w:r>
                </w:p>
              </w:tc>
              <w:tc>
                <w:tcPr>
                  <w:tcW w:w="5528" w:type="dxa"/>
                </w:tcPr>
                <w:p w14:paraId="35179924" w14:textId="77777777" w:rsidR="00CF7B98" w:rsidRPr="00BE4C05" w:rsidRDefault="00CF7B98" w:rsidP="00FF70FE">
                  <w:pPr>
                    <w:rPr>
                      <w:rFonts w:ascii="Arial" w:hAnsi="Arial" w:cs="Arial"/>
                      <w:b/>
                      <w:sz w:val="20"/>
                    </w:rPr>
                  </w:pPr>
                  <w:r w:rsidRPr="00BE4C05">
                    <w:rPr>
                      <w:rFonts w:ascii="Arial" w:hAnsi="Arial" w:cs="Arial"/>
                      <w:b/>
                      <w:sz w:val="20"/>
                    </w:rPr>
                    <w:t>Helping people to recover from episodes of ill-health or following injury</w:t>
                  </w:r>
                </w:p>
              </w:tc>
              <w:tc>
                <w:tcPr>
                  <w:tcW w:w="641" w:type="dxa"/>
                </w:tcPr>
                <w:p w14:paraId="655AD065" w14:textId="77777777" w:rsidR="00CF7B98" w:rsidRPr="00BE4C05" w:rsidRDefault="00CF7B98" w:rsidP="00FF70FE">
                  <w:pPr>
                    <w:rPr>
                      <w:rFonts w:ascii="Arial" w:hAnsi="Arial" w:cs="Arial"/>
                      <w:b/>
                      <w:sz w:val="20"/>
                    </w:rPr>
                  </w:pPr>
                  <w:r w:rsidRPr="00BE4C05">
                    <w:rPr>
                      <w:rFonts w:ascii="Arial" w:hAnsi="Arial" w:cs="Arial"/>
                      <w:b/>
                      <w:sz w:val="20"/>
                    </w:rPr>
                    <w:sym w:font="Wingdings" w:char="F0FC"/>
                  </w:r>
                </w:p>
              </w:tc>
            </w:tr>
            <w:tr w:rsidR="00CF7B98" w:rsidRPr="00BE4C05" w14:paraId="500950D5" w14:textId="77777777" w:rsidTr="00FF70FE">
              <w:tc>
                <w:tcPr>
                  <w:tcW w:w="1276" w:type="dxa"/>
                </w:tcPr>
                <w:p w14:paraId="6D00FE86" w14:textId="77777777" w:rsidR="00CF7B98" w:rsidRPr="00BE4C05" w:rsidRDefault="00CF7B98" w:rsidP="00FF70FE">
                  <w:pPr>
                    <w:rPr>
                      <w:rFonts w:ascii="Arial" w:hAnsi="Arial" w:cs="Arial"/>
                      <w:b/>
                      <w:sz w:val="20"/>
                    </w:rPr>
                  </w:pPr>
                  <w:r w:rsidRPr="00BE4C05">
                    <w:rPr>
                      <w:rFonts w:ascii="Arial" w:hAnsi="Arial" w:cs="Arial"/>
                      <w:b/>
                      <w:sz w:val="20"/>
                    </w:rPr>
                    <w:t>Domain 4</w:t>
                  </w:r>
                </w:p>
              </w:tc>
              <w:tc>
                <w:tcPr>
                  <w:tcW w:w="5528" w:type="dxa"/>
                </w:tcPr>
                <w:p w14:paraId="5A313DA9" w14:textId="77777777" w:rsidR="00CF7B98" w:rsidRPr="00BE4C05" w:rsidRDefault="00CF7B98" w:rsidP="00FF70FE">
                  <w:pPr>
                    <w:rPr>
                      <w:rFonts w:ascii="Arial" w:hAnsi="Arial" w:cs="Arial"/>
                      <w:b/>
                      <w:sz w:val="20"/>
                    </w:rPr>
                  </w:pPr>
                  <w:r w:rsidRPr="00BE4C05">
                    <w:rPr>
                      <w:rFonts w:ascii="Arial" w:hAnsi="Arial" w:cs="Arial"/>
                      <w:b/>
                      <w:sz w:val="20"/>
                    </w:rPr>
                    <w:t>Ensuring people have a positive experience of care</w:t>
                  </w:r>
                </w:p>
              </w:tc>
              <w:tc>
                <w:tcPr>
                  <w:tcW w:w="641" w:type="dxa"/>
                </w:tcPr>
                <w:p w14:paraId="2E175449" w14:textId="77777777" w:rsidR="00CF7B98" w:rsidRPr="00BE4C05" w:rsidRDefault="00CF7B98" w:rsidP="00FF70FE">
                  <w:pPr>
                    <w:rPr>
                      <w:rFonts w:ascii="Arial" w:hAnsi="Arial" w:cs="Arial"/>
                      <w:b/>
                      <w:sz w:val="20"/>
                    </w:rPr>
                  </w:pPr>
                  <w:r w:rsidRPr="00BE4C05">
                    <w:rPr>
                      <w:rFonts w:ascii="Arial" w:hAnsi="Arial" w:cs="Arial"/>
                      <w:b/>
                      <w:sz w:val="20"/>
                    </w:rPr>
                    <w:sym w:font="Wingdings" w:char="F0FC"/>
                  </w:r>
                </w:p>
              </w:tc>
            </w:tr>
            <w:tr w:rsidR="00CF7B98" w:rsidRPr="00BE4C05" w14:paraId="2AB00EFC" w14:textId="77777777" w:rsidTr="00FF70FE">
              <w:tc>
                <w:tcPr>
                  <w:tcW w:w="1276" w:type="dxa"/>
                </w:tcPr>
                <w:p w14:paraId="106ECCD4" w14:textId="77777777" w:rsidR="00CF7B98" w:rsidRPr="00BE4C05" w:rsidRDefault="00CF7B98" w:rsidP="00FF70FE">
                  <w:pPr>
                    <w:rPr>
                      <w:rFonts w:ascii="Arial" w:hAnsi="Arial" w:cs="Arial"/>
                      <w:b/>
                      <w:sz w:val="20"/>
                    </w:rPr>
                  </w:pPr>
                  <w:r w:rsidRPr="00BE4C05">
                    <w:rPr>
                      <w:rFonts w:ascii="Arial" w:hAnsi="Arial" w:cs="Arial"/>
                      <w:b/>
                      <w:sz w:val="20"/>
                    </w:rPr>
                    <w:t>Domain 5</w:t>
                  </w:r>
                </w:p>
              </w:tc>
              <w:tc>
                <w:tcPr>
                  <w:tcW w:w="5528" w:type="dxa"/>
                </w:tcPr>
                <w:p w14:paraId="05B4A581" w14:textId="77777777" w:rsidR="00CF7B98" w:rsidRPr="00BE4C05" w:rsidRDefault="00CF7B98" w:rsidP="00FF70FE">
                  <w:pPr>
                    <w:rPr>
                      <w:rFonts w:ascii="Arial" w:hAnsi="Arial" w:cs="Arial"/>
                      <w:b/>
                      <w:sz w:val="20"/>
                    </w:rPr>
                  </w:pPr>
                  <w:r w:rsidRPr="00BE4C05">
                    <w:rPr>
                      <w:rFonts w:ascii="Arial" w:hAnsi="Arial" w:cs="Arial"/>
                      <w:b/>
                      <w:sz w:val="20"/>
                    </w:rPr>
                    <w:t>Treating and caring for people in safe environment and protecting them from avoidable harm</w:t>
                  </w:r>
                </w:p>
              </w:tc>
              <w:tc>
                <w:tcPr>
                  <w:tcW w:w="641" w:type="dxa"/>
                </w:tcPr>
                <w:p w14:paraId="7E3DFA16" w14:textId="77777777" w:rsidR="00CF7B98" w:rsidRPr="00BE4C05" w:rsidRDefault="00CF7B98" w:rsidP="00FF70FE">
                  <w:pPr>
                    <w:rPr>
                      <w:rFonts w:ascii="Arial" w:hAnsi="Arial" w:cs="Arial"/>
                      <w:b/>
                      <w:sz w:val="20"/>
                    </w:rPr>
                  </w:pPr>
                </w:p>
              </w:tc>
            </w:tr>
          </w:tbl>
          <w:p w14:paraId="3F3BB017" w14:textId="77777777" w:rsidR="00CF7B98" w:rsidRPr="00BE4C05" w:rsidRDefault="00CF7B98" w:rsidP="00FF70FE">
            <w:pPr>
              <w:spacing w:after="0"/>
              <w:rPr>
                <w:rFonts w:ascii="Arial" w:hAnsi="Arial" w:cs="Arial"/>
                <w:b/>
                <w:sz w:val="20"/>
              </w:rPr>
            </w:pPr>
          </w:p>
          <w:p w14:paraId="6FDF3453" w14:textId="77777777" w:rsidR="00CF7B98" w:rsidRPr="00BE4C05" w:rsidRDefault="00CF7B98" w:rsidP="00FF70FE">
            <w:pPr>
              <w:spacing w:after="0"/>
              <w:rPr>
                <w:rFonts w:ascii="Arial" w:hAnsi="Arial" w:cs="Arial"/>
                <w:b/>
                <w:sz w:val="20"/>
              </w:rPr>
            </w:pPr>
            <w:r w:rsidRPr="00BE4C05">
              <w:rPr>
                <w:rFonts w:ascii="Arial" w:hAnsi="Arial" w:cs="Arial"/>
                <w:b/>
                <w:sz w:val="20"/>
              </w:rPr>
              <w:t>2.2</w:t>
            </w:r>
            <w:r w:rsidRPr="00BE4C05">
              <w:rPr>
                <w:rFonts w:ascii="Arial" w:hAnsi="Arial" w:cs="Arial"/>
                <w:b/>
                <w:sz w:val="20"/>
              </w:rPr>
              <w:tab/>
              <w:t>Local defined outcomes</w:t>
            </w:r>
          </w:p>
          <w:p w14:paraId="60E7496A"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Improved clinical outcomes for patients</w:t>
            </w:r>
          </w:p>
          <w:p w14:paraId="23F84BB0"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All service users to participate in the decision about the course of their treatment and set goals (shared decision making)</w:t>
            </w:r>
          </w:p>
          <w:p w14:paraId="077C7329"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 xml:space="preserve">Reduce patient’s need or ongoing care provision by increasing their levels of independence </w:t>
            </w:r>
          </w:p>
          <w:p w14:paraId="4C5AA5AA"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Reduced waiting times for patients with musculoskeletal conditions</w:t>
            </w:r>
          </w:p>
          <w:p w14:paraId="4C924652"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Improved clinical pathway</w:t>
            </w:r>
          </w:p>
          <w:p w14:paraId="22A09048"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Reduced health inequalities by improving access to the service</w:t>
            </w:r>
          </w:p>
          <w:p w14:paraId="04CBE17E" w14:textId="77777777" w:rsidR="00CF7B98" w:rsidRPr="00BE4C05" w:rsidRDefault="00CF7B98" w:rsidP="007551BF">
            <w:pPr>
              <w:numPr>
                <w:ilvl w:val="0"/>
                <w:numId w:val="18"/>
              </w:numPr>
              <w:spacing w:after="0"/>
              <w:rPr>
                <w:rFonts w:ascii="Arial" w:eastAsia="Times New Roman" w:hAnsi="Arial" w:cs="Arial"/>
                <w:sz w:val="20"/>
              </w:rPr>
            </w:pPr>
            <w:r w:rsidRPr="00BE4C05">
              <w:rPr>
                <w:rFonts w:ascii="Arial" w:eastAsia="Times New Roman" w:hAnsi="Arial" w:cs="Arial"/>
                <w:sz w:val="20"/>
              </w:rPr>
              <w:t>Reduce the demand and waiting times for secondary care orthopaedic services</w:t>
            </w:r>
          </w:p>
          <w:p w14:paraId="1C964F41" w14:textId="77777777" w:rsidR="00CF7B98" w:rsidRPr="00BE4C05" w:rsidRDefault="00CF7B98" w:rsidP="00FF70FE">
            <w:pPr>
              <w:spacing w:after="0"/>
              <w:rPr>
                <w:rFonts w:ascii="Arial" w:hAnsi="Arial" w:cs="Arial"/>
                <w:b/>
                <w:sz w:val="20"/>
              </w:rPr>
            </w:pPr>
          </w:p>
          <w:p w14:paraId="4D6B3818" w14:textId="77777777" w:rsidR="00CF7B98" w:rsidRPr="00BE4C05" w:rsidRDefault="00CF7B98" w:rsidP="00FF70FE">
            <w:pPr>
              <w:spacing w:after="0"/>
              <w:rPr>
                <w:rFonts w:ascii="Arial" w:hAnsi="Arial" w:cs="Arial"/>
                <w:b/>
                <w:sz w:val="20"/>
              </w:rPr>
            </w:pPr>
          </w:p>
        </w:tc>
      </w:tr>
      <w:tr w:rsidR="00CF7B98" w:rsidRPr="00BE4C05" w14:paraId="51038E30" w14:textId="77777777" w:rsidTr="00FF70FE">
        <w:tc>
          <w:tcPr>
            <w:tcW w:w="8414" w:type="dxa"/>
            <w:shd w:val="clear" w:color="auto" w:fill="auto"/>
          </w:tcPr>
          <w:p w14:paraId="1C324EBE" w14:textId="77777777" w:rsidR="00CF7B98" w:rsidRPr="00BE4C05" w:rsidRDefault="00CF7B98" w:rsidP="00FF70FE">
            <w:pPr>
              <w:spacing w:after="0"/>
              <w:rPr>
                <w:rFonts w:ascii="Arial" w:hAnsi="Arial" w:cs="Arial"/>
                <w:b/>
                <w:sz w:val="20"/>
              </w:rPr>
            </w:pPr>
            <w:r w:rsidRPr="00BE4C05">
              <w:rPr>
                <w:rFonts w:ascii="Arial" w:hAnsi="Arial" w:cs="Arial"/>
                <w:b/>
                <w:sz w:val="20"/>
              </w:rPr>
              <w:t>3.</w:t>
            </w:r>
            <w:r w:rsidRPr="00BE4C05">
              <w:rPr>
                <w:rFonts w:ascii="Arial" w:hAnsi="Arial" w:cs="Arial"/>
                <w:b/>
                <w:sz w:val="20"/>
              </w:rPr>
              <w:tab/>
              <w:t>Scope</w:t>
            </w:r>
          </w:p>
        </w:tc>
      </w:tr>
      <w:tr w:rsidR="00CF7B98" w:rsidRPr="00BE4C05" w14:paraId="6AAB6DD7" w14:textId="77777777" w:rsidTr="00FF70FE">
        <w:tc>
          <w:tcPr>
            <w:tcW w:w="8414" w:type="dxa"/>
            <w:shd w:val="clear" w:color="auto" w:fill="auto"/>
          </w:tcPr>
          <w:p w14:paraId="1072A600" w14:textId="77777777" w:rsidR="00CF7B98" w:rsidRPr="00BE4C05" w:rsidRDefault="00CF7B98" w:rsidP="00FF70FE">
            <w:pPr>
              <w:spacing w:after="0"/>
              <w:rPr>
                <w:rFonts w:ascii="Arial" w:hAnsi="Arial" w:cs="Arial"/>
                <w:sz w:val="20"/>
              </w:rPr>
            </w:pPr>
          </w:p>
          <w:p w14:paraId="19570A52" w14:textId="77777777" w:rsidR="00CF7B98" w:rsidRPr="00BE4C05" w:rsidRDefault="00CF7B98" w:rsidP="00FF70FE">
            <w:pPr>
              <w:spacing w:after="0"/>
              <w:rPr>
                <w:rFonts w:ascii="Arial" w:hAnsi="Arial" w:cs="Arial"/>
                <w:b/>
                <w:sz w:val="20"/>
              </w:rPr>
            </w:pPr>
            <w:r w:rsidRPr="00BE4C05">
              <w:rPr>
                <w:rFonts w:ascii="Arial" w:hAnsi="Arial" w:cs="Arial"/>
                <w:b/>
                <w:sz w:val="20"/>
              </w:rPr>
              <w:t>3.1</w:t>
            </w:r>
            <w:r w:rsidRPr="00BE4C05">
              <w:rPr>
                <w:rFonts w:ascii="Arial" w:hAnsi="Arial" w:cs="Arial"/>
                <w:b/>
                <w:sz w:val="20"/>
              </w:rPr>
              <w:tab/>
              <w:t>Aims and objectives of service</w:t>
            </w:r>
          </w:p>
          <w:p w14:paraId="3B33A7BB"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purpose of the Community Musculoskeletal Service is to improve the access to and service user experience of musculoskeletal services (including physiotherapy assessment), promote better self-care and treatment for service users with long term musculoskeletal conditions and rehabilitation needs, and improve the health and well-being of Nottinghamshire residents.</w:t>
            </w:r>
          </w:p>
          <w:p w14:paraId="47B696C3" w14:textId="77777777" w:rsidR="00CF7B98" w:rsidRPr="00BE4C05" w:rsidRDefault="00CF7B98" w:rsidP="00FF70FE">
            <w:pPr>
              <w:tabs>
                <w:tab w:val="left" w:pos="4638"/>
              </w:tabs>
              <w:spacing w:after="0"/>
              <w:rPr>
                <w:rFonts w:ascii="Arial" w:eastAsia="Times New Roman" w:hAnsi="Arial" w:cs="Arial"/>
                <w:sz w:val="20"/>
              </w:rPr>
            </w:pPr>
            <w:r w:rsidRPr="00BE4C05">
              <w:rPr>
                <w:rFonts w:ascii="Arial" w:eastAsia="Times New Roman" w:hAnsi="Arial" w:cs="Arial"/>
                <w:sz w:val="20"/>
              </w:rPr>
              <w:tab/>
            </w:r>
          </w:p>
          <w:p w14:paraId="42C28AE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overall aim is for the Service to provide comprehensive assessment for service users with Musculoskeletal (MSK) conditions, physiotherapy and rehabilitation needs.  The expectation is service users shall be treated in the community and only referred to hospital when there is a definite need for hospital based specialist services.  The Service shall:</w:t>
            </w:r>
          </w:p>
          <w:p w14:paraId="3C57DED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Provide a single point of access for service users and health professionals</w:t>
            </w:r>
          </w:p>
          <w:p w14:paraId="120CC1EA"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Improve access to clinical services and ensure service users are offered the most appropriate treatment or management in the shortest possible time</w:t>
            </w:r>
          </w:p>
          <w:p w14:paraId="0E77DF64"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Provide a single point of information for service users and clinicians</w:t>
            </w:r>
          </w:p>
          <w:p w14:paraId="27C1A757" w14:textId="77777777" w:rsidR="00CF7B98" w:rsidRPr="00BE4C05" w:rsidRDefault="00CF7B98" w:rsidP="007551BF">
            <w:pPr>
              <w:numPr>
                <w:ilvl w:val="0"/>
                <w:numId w:val="19"/>
              </w:numPr>
              <w:spacing w:after="0"/>
              <w:ind w:left="714" w:hanging="357"/>
              <w:rPr>
                <w:rFonts w:ascii="Arial" w:eastAsia="Times New Roman" w:hAnsi="Arial" w:cs="Arial"/>
                <w:sz w:val="20"/>
                <w:lang w:val="en-GB" w:eastAsia="en-US"/>
              </w:rPr>
            </w:pPr>
            <w:r w:rsidRPr="00BE4C05">
              <w:rPr>
                <w:rFonts w:ascii="Arial" w:eastAsia="Times New Roman" w:hAnsi="Arial" w:cs="Arial"/>
                <w:sz w:val="20"/>
                <w:lang w:val="en-GB" w:eastAsia="en-US"/>
              </w:rPr>
              <w:t>Improve efficiencies to manage demand within the service</w:t>
            </w:r>
          </w:p>
          <w:p w14:paraId="4B3D8E4B"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Ensure service users are seen and treated closer to home in an environment most appropriate to their needs</w:t>
            </w:r>
          </w:p>
          <w:p w14:paraId="1388BD5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Limit the physical and associated disabilities that are caused by musculoskeletal conditions</w:t>
            </w:r>
          </w:p>
          <w:p w14:paraId="7FD4BA9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Support General Practice by making available a new and effective pathway for service users with musculoskeletal conditions</w:t>
            </w:r>
          </w:p>
          <w:p w14:paraId="1F07736C"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Reduce pressure on secondary care services and support the 18 weeks target to be met.</w:t>
            </w:r>
          </w:p>
          <w:p w14:paraId="7BE3C92D" w14:textId="77777777" w:rsidR="00CF7B98" w:rsidRPr="00BE4C05" w:rsidRDefault="00CF7B98" w:rsidP="00FF70FE">
            <w:pPr>
              <w:spacing w:after="0"/>
              <w:rPr>
                <w:rFonts w:ascii="Arial" w:eastAsia="Times New Roman" w:hAnsi="Arial" w:cs="Arial"/>
                <w:sz w:val="20"/>
              </w:rPr>
            </w:pPr>
          </w:p>
          <w:p w14:paraId="6CA9C67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 shall have the following objectives:</w:t>
            </w:r>
          </w:p>
          <w:p w14:paraId="482FE50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Provide triage, clinical assessment, treatment and clinical leadership within a comprehensive community service</w:t>
            </w:r>
          </w:p>
          <w:p w14:paraId="70711121"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Improve service user access to services and ensure service users are seen and treated closer to home in an environment appropriate to their needs.</w:t>
            </w:r>
          </w:p>
          <w:p w14:paraId="3CAB20EA"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Reduce waiting times for service users</w:t>
            </w:r>
          </w:p>
          <w:p w14:paraId="0C1A89A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lastRenderedPageBreak/>
              <w:t>Monitor provider referrals to secondary care to ensure that non red flags are retained within the service</w:t>
            </w:r>
          </w:p>
          <w:p w14:paraId="711F7A92"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Develop agreed models of care and pathways for common MSK conditions</w:t>
            </w:r>
          </w:p>
          <w:p w14:paraId="5FAE280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Collaboratively support individuals and their carers to develop their knowledge, skills and confidence to care for themselves and their conditions effectively </w:t>
            </w:r>
          </w:p>
          <w:p w14:paraId="374176AC"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Work in partnership with other stakeholders to promote MSK health and ill health prevention</w:t>
            </w:r>
          </w:p>
          <w:p w14:paraId="657262D3"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Enhance the management of service users with MSK conditions within the community and actively manage the demand for secondary care services</w:t>
            </w:r>
          </w:p>
          <w:p w14:paraId="7046174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Improve the service user experience through improvements in service user satisfaction</w:t>
            </w:r>
          </w:p>
          <w:p w14:paraId="4BF8352B" w14:textId="77777777" w:rsidR="00CF7B98" w:rsidRPr="00BE4C05" w:rsidRDefault="00CF7B98" w:rsidP="00FF70FE">
            <w:pPr>
              <w:spacing w:after="0"/>
              <w:rPr>
                <w:rFonts w:ascii="Arial" w:hAnsi="Arial" w:cs="Arial"/>
                <w:sz w:val="20"/>
              </w:rPr>
            </w:pPr>
          </w:p>
          <w:p w14:paraId="0C1C90F6" w14:textId="77777777" w:rsidR="00CF7B98" w:rsidRPr="00BE4C05" w:rsidRDefault="00CF7B98" w:rsidP="00FF70FE">
            <w:pPr>
              <w:spacing w:after="0"/>
              <w:rPr>
                <w:rFonts w:ascii="Arial" w:hAnsi="Arial" w:cs="Arial"/>
                <w:b/>
                <w:sz w:val="20"/>
              </w:rPr>
            </w:pPr>
            <w:r w:rsidRPr="00BE4C05">
              <w:rPr>
                <w:rFonts w:ascii="Arial" w:hAnsi="Arial" w:cs="Arial"/>
                <w:b/>
                <w:sz w:val="20"/>
              </w:rPr>
              <w:t>3.2</w:t>
            </w:r>
            <w:r w:rsidRPr="00BE4C05">
              <w:rPr>
                <w:rFonts w:ascii="Arial" w:hAnsi="Arial" w:cs="Arial"/>
                <w:b/>
                <w:sz w:val="20"/>
              </w:rPr>
              <w:tab/>
              <w:t>Service description/care pathway</w:t>
            </w:r>
          </w:p>
          <w:p w14:paraId="3EF1D4C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provide a Single Point of Access (SPA) triage and, where required and appropriate, clinically assess and treat adult MSK referrals from GP practices and health professionals.</w:t>
            </w:r>
          </w:p>
          <w:p w14:paraId="5E7CC4F6" w14:textId="77777777" w:rsidR="00CF7B98" w:rsidRPr="00BE4C05" w:rsidRDefault="00CF7B98" w:rsidP="00FF70FE">
            <w:pPr>
              <w:spacing w:after="0"/>
              <w:rPr>
                <w:rFonts w:ascii="Arial" w:eastAsia="Times New Roman" w:hAnsi="Arial" w:cs="Arial"/>
                <w:sz w:val="20"/>
              </w:rPr>
            </w:pPr>
          </w:p>
          <w:p w14:paraId="739CF61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Services to be delivered under this specification may be grouped together for service delivery purposes as:</w:t>
            </w:r>
          </w:p>
          <w:p w14:paraId="6798EF2C"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Lower Limb</w:t>
            </w:r>
          </w:p>
          <w:p w14:paraId="711C54B5"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Upper Limb</w:t>
            </w:r>
          </w:p>
          <w:p w14:paraId="66EA88E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Upper Spine</w:t>
            </w:r>
          </w:p>
          <w:p w14:paraId="4E930E83"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Lower Spine</w:t>
            </w:r>
          </w:p>
          <w:p w14:paraId="7AA09672"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Hand</w:t>
            </w:r>
          </w:p>
          <w:p w14:paraId="7DB891F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Foot and Ankle</w:t>
            </w:r>
          </w:p>
          <w:p w14:paraId="2CC4A8FE"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Pain Management</w:t>
            </w:r>
          </w:p>
          <w:p w14:paraId="0F93E048" w14:textId="77777777" w:rsidR="00CF7B98" w:rsidRPr="00BE4C05" w:rsidRDefault="00CF7B98" w:rsidP="00FF70FE">
            <w:pPr>
              <w:spacing w:after="0"/>
              <w:rPr>
                <w:rFonts w:ascii="Arial" w:eastAsia="Times New Roman" w:hAnsi="Arial" w:cs="Arial"/>
                <w:sz w:val="20"/>
              </w:rPr>
            </w:pPr>
          </w:p>
          <w:p w14:paraId="370FF2FD"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Services shall be delivered through a multidisciplinary approach.  The Provider shall ensure that a range of professionals are involved at all points of the Community Musculoskeletal pathway in order to manage the full range of service users accessing this service.  For example, this may include but not limited to Physiotherapists, Orthopaedic and Spinal Consultants, Sport and Exercise Medicine Consultants (SEMs), GPs with a Specialist Interest (GPwSIs) in MSK conditions and Extended Scope Physiotherapists (ESPs).</w:t>
            </w:r>
          </w:p>
          <w:p w14:paraId="79E99CAA" w14:textId="77777777" w:rsidR="00CF7B98" w:rsidRPr="00BE4C05" w:rsidRDefault="00CF7B98" w:rsidP="00FF70FE">
            <w:pPr>
              <w:spacing w:after="0"/>
              <w:rPr>
                <w:rFonts w:ascii="Arial" w:eastAsia="Times New Roman" w:hAnsi="Arial" w:cs="Arial"/>
                <w:sz w:val="20"/>
              </w:rPr>
            </w:pPr>
          </w:p>
          <w:p w14:paraId="122C0DE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Services shall be delivered in geographically convenient locations throughout the geographical area covered, to be agreed with the Commissioner, and these sites must have adequate parking facilities and public transport stops within a short walk.  </w:t>
            </w:r>
          </w:p>
          <w:p w14:paraId="3F1E69B4" w14:textId="77777777" w:rsidR="00CF7B98" w:rsidRPr="00BE4C05" w:rsidRDefault="00CF7B98" w:rsidP="00FF70FE">
            <w:pPr>
              <w:spacing w:after="0"/>
              <w:rPr>
                <w:rFonts w:ascii="Arial" w:eastAsia="Times New Roman" w:hAnsi="Arial" w:cs="Arial"/>
                <w:sz w:val="20"/>
              </w:rPr>
            </w:pPr>
          </w:p>
          <w:p w14:paraId="0CC9F1DD"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Following triage, the possible options available should be:</w:t>
            </w:r>
          </w:p>
          <w:p w14:paraId="3A506C1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MSK Service (Routine patients) – assessment/advice and guidance/exercise group etc</w:t>
            </w:r>
          </w:p>
          <w:p w14:paraId="3A4FD97E"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MSK Service (Complex patients) – diagnosis and treatment by specialist health professionals for example, Extended Scope Physiotherapist and/or GPs with Special Interest, Orthopaedic/Spinal Consultants and/or Sports and Exercise Medicine Consultants.  This may include diagnostics/injections/joint aspirations etc.</w:t>
            </w:r>
          </w:p>
          <w:p w14:paraId="24578B85"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Community based physical and psychological approaches to low back pain</w:t>
            </w:r>
          </w:p>
          <w:p w14:paraId="4D90318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Referral to diagnostics in the community if available</w:t>
            </w:r>
          </w:p>
          <w:p w14:paraId="2FC7E094"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Referral back to GP with advice and guidance on treatment in general practice </w:t>
            </w:r>
          </w:p>
          <w:p w14:paraId="21FF68E1"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Referral to secondary care services which will be subject to service user choice</w:t>
            </w:r>
          </w:p>
          <w:p w14:paraId="5E6754C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Referral to other available community services available at the time in the relevant area e.g. pain management service, weight management service</w:t>
            </w:r>
          </w:p>
          <w:p w14:paraId="3D2C5CB7" w14:textId="77777777" w:rsidR="00CF7B98" w:rsidRPr="00BE4C05" w:rsidRDefault="00CF7B98" w:rsidP="00FF70FE">
            <w:pPr>
              <w:spacing w:after="0"/>
              <w:rPr>
                <w:rFonts w:ascii="Arial" w:eastAsia="Times New Roman" w:hAnsi="Arial" w:cs="Arial"/>
                <w:sz w:val="20"/>
              </w:rPr>
            </w:pPr>
          </w:p>
          <w:p w14:paraId="69EDAD13"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propose the range of diagnostic imaging to be provided at each service delivery location.</w:t>
            </w:r>
          </w:p>
          <w:p w14:paraId="5E158E83" w14:textId="77777777" w:rsidR="00CF7B98" w:rsidRPr="00BE4C05" w:rsidRDefault="00CF7B98" w:rsidP="00FF70FE">
            <w:pPr>
              <w:spacing w:after="0"/>
              <w:rPr>
                <w:rFonts w:ascii="Arial" w:eastAsia="Times New Roman" w:hAnsi="Arial" w:cs="Arial"/>
                <w:sz w:val="20"/>
              </w:rPr>
            </w:pPr>
          </w:p>
          <w:p w14:paraId="7C0924E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lastRenderedPageBreak/>
              <w:t>There is an expectation that the Provider will develop shared care pathways and joint working across primary and secondary care providers to enable but not limited to direct listing for surgery.</w:t>
            </w:r>
          </w:p>
          <w:p w14:paraId="05D9D903" w14:textId="77777777" w:rsidR="00CF7B98" w:rsidRPr="00BE4C05" w:rsidRDefault="00CF7B98" w:rsidP="00FF70FE">
            <w:pPr>
              <w:spacing w:after="0"/>
              <w:rPr>
                <w:rFonts w:ascii="Arial" w:eastAsia="Times New Roman" w:hAnsi="Arial" w:cs="Arial"/>
                <w:sz w:val="20"/>
              </w:rPr>
            </w:pPr>
          </w:p>
          <w:p w14:paraId="1166FDF7"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should develop a comprehensive range of service user information on MSK conditions, including advice on self-management, shared decision making tools and services to access should complication arise outside the normal hours and directing patients to other resources as appropriate.</w:t>
            </w:r>
          </w:p>
          <w:p w14:paraId="3729B736" w14:textId="77777777" w:rsidR="00CF7B98" w:rsidRPr="00BE4C05" w:rsidRDefault="00CF7B98" w:rsidP="00FF70FE">
            <w:pPr>
              <w:spacing w:after="0"/>
              <w:rPr>
                <w:rFonts w:ascii="Arial" w:eastAsia="Times New Roman" w:hAnsi="Arial" w:cs="Arial"/>
                <w:sz w:val="20"/>
              </w:rPr>
            </w:pPr>
          </w:p>
          <w:p w14:paraId="56665B3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also facilitate the development of service user information and health promotion material in partnership with GPs and clinicians with an interest in managing MSK pain to empower potential service users to take ownership of their complaint and make necessary life choices to alleviate discomfort and distress.  This material will be disseminated across the GP practices through a range of locations and media to be proposed by the Provider.</w:t>
            </w:r>
          </w:p>
          <w:p w14:paraId="2FC673EC" w14:textId="77777777" w:rsidR="00CF7B98" w:rsidRPr="00BE4C05" w:rsidRDefault="00CF7B98" w:rsidP="00FF70FE">
            <w:pPr>
              <w:spacing w:after="0"/>
              <w:rPr>
                <w:rFonts w:ascii="Arial" w:eastAsia="Times New Roman" w:hAnsi="Arial" w:cs="Arial"/>
                <w:sz w:val="20"/>
              </w:rPr>
            </w:pPr>
          </w:p>
          <w:p w14:paraId="6B59F2E2"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core elements of the patient pathway can be found in the document titled ‘Community MSK Service Pathway’.</w:t>
            </w:r>
          </w:p>
          <w:p w14:paraId="74C7B33F" w14:textId="77777777" w:rsidR="00CF7B98" w:rsidRPr="00BE4C05" w:rsidRDefault="00CF7B98" w:rsidP="00FF70FE">
            <w:pPr>
              <w:spacing w:after="0"/>
              <w:rPr>
                <w:rFonts w:ascii="Arial" w:eastAsia="Times New Roman" w:hAnsi="Arial" w:cs="Arial"/>
                <w:sz w:val="20"/>
              </w:rPr>
            </w:pPr>
          </w:p>
          <w:p w14:paraId="2C346E80"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 xml:space="preserve">1. </w:t>
            </w:r>
            <w:r w:rsidRPr="00BE4C05">
              <w:rPr>
                <w:rFonts w:ascii="Arial" w:eastAsia="Times New Roman" w:hAnsi="Arial" w:cs="Arial"/>
                <w:b/>
                <w:sz w:val="20"/>
              </w:rPr>
              <w:tab/>
              <w:t>Advice, Guidance and Self-Management</w:t>
            </w:r>
          </w:p>
          <w:p w14:paraId="727FECA7"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supply and Advice and Guidance Service to GPs to support their decision making on whether to make a referral.  The provider will be expected to develop, in conjunction with GPs, a range of decision making aids in order to decrease the number of inappropriate referrals and to empower GPs, patients and other health professionals.  These requests will be made on the E-Referral System with a response made within a standard to be agreed with the Provider</w:t>
            </w:r>
          </w:p>
          <w:p w14:paraId="30A6BFCD" w14:textId="77777777" w:rsidR="00CF7B98" w:rsidRPr="00BE4C05" w:rsidRDefault="00CF7B98" w:rsidP="00FF70FE">
            <w:pPr>
              <w:spacing w:after="0"/>
              <w:rPr>
                <w:rFonts w:ascii="Arial" w:eastAsia="Times New Roman" w:hAnsi="Arial" w:cs="Arial"/>
                <w:sz w:val="20"/>
              </w:rPr>
            </w:pPr>
          </w:p>
          <w:p w14:paraId="0818DC24"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2.</w:t>
            </w:r>
            <w:r w:rsidRPr="00BE4C05">
              <w:rPr>
                <w:rFonts w:ascii="Arial" w:eastAsia="Times New Roman" w:hAnsi="Arial" w:cs="Arial"/>
                <w:b/>
                <w:sz w:val="20"/>
              </w:rPr>
              <w:tab/>
              <w:t>Primary Care Intervention and Referral</w:t>
            </w:r>
          </w:p>
          <w:p w14:paraId="3CC1FB30"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will receive referral to the service via the E-Referral system.  The only exception to this is when the referral is urgent – see list of exclusions in section 4.6 – when a direct referral to the hospital of the patient’s choice should be made by the GP practice.</w:t>
            </w:r>
          </w:p>
          <w:p w14:paraId="78CE3D6C" w14:textId="77777777" w:rsidR="00CF7B98" w:rsidRPr="00BE4C05" w:rsidRDefault="00CF7B98" w:rsidP="00FF70FE">
            <w:pPr>
              <w:spacing w:after="0"/>
              <w:rPr>
                <w:rFonts w:ascii="Arial" w:eastAsia="Times New Roman" w:hAnsi="Arial" w:cs="Arial"/>
                <w:sz w:val="20"/>
              </w:rPr>
            </w:pPr>
          </w:p>
          <w:p w14:paraId="1B17420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Prior to referral into the service a minimum level of work should have been completed in accordance with accepted best practice and the specific pathway requirements and referral thresholds for the service users’ condition.  The Provider shall work with the Commissioner to define these standards as part of the contract mobilization process.</w:t>
            </w:r>
          </w:p>
          <w:p w14:paraId="664D1907" w14:textId="77777777" w:rsidR="00CF7B98" w:rsidRPr="00BE4C05" w:rsidRDefault="00CF7B98" w:rsidP="00FF70FE">
            <w:pPr>
              <w:spacing w:after="0"/>
              <w:rPr>
                <w:rFonts w:ascii="Arial" w:eastAsia="Times New Roman" w:hAnsi="Arial" w:cs="Arial"/>
                <w:sz w:val="20"/>
              </w:rPr>
            </w:pPr>
          </w:p>
          <w:p w14:paraId="36C5FF8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To support the Service objectives the Provider shall provide:</w:t>
            </w:r>
          </w:p>
          <w:p w14:paraId="64E7C92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An Advice and Guidance service to referrers to inform that management of the MSK condition of individual service users</w:t>
            </w:r>
          </w:p>
          <w:p w14:paraId="2B1D06C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Education opportunities for up-skilling GPs in relation to the recognition and treatment of musculoskeletal conditions; and</w:t>
            </w:r>
          </w:p>
          <w:p w14:paraId="139AEFAB"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Feedback on trends and referral patterns within each practice, as well as trends and audit findings being provided for GP education and learning on a quarterly basis.</w:t>
            </w:r>
          </w:p>
          <w:p w14:paraId="39E93D00" w14:textId="77777777" w:rsidR="00CF7B98" w:rsidRPr="00BE4C05" w:rsidRDefault="00CF7B98" w:rsidP="00FF70FE">
            <w:pPr>
              <w:spacing w:after="0"/>
              <w:rPr>
                <w:rFonts w:ascii="Arial" w:eastAsia="Times New Roman" w:hAnsi="Arial" w:cs="Arial"/>
                <w:sz w:val="20"/>
              </w:rPr>
            </w:pPr>
          </w:p>
          <w:p w14:paraId="43D60696"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3.</w:t>
            </w:r>
            <w:r w:rsidRPr="00BE4C05">
              <w:rPr>
                <w:rFonts w:ascii="Arial" w:eastAsia="Times New Roman" w:hAnsi="Arial" w:cs="Arial"/>
                <w:b/>
                <w:sz w:val="20"/>
              </w:rPr>
              <w:tab/>
              <w:t>Triage</w:t>
            </w:r>
          </w:p>
          <w:p w14:paraId="04C77D5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Triage is defined as a brief clinical assessment that determines the timing, pathway and sequence of events the referral will take based on a short evaluation of the referral information.  This shall be carried out by an appropriate accredited and experienced clinician (s) within the service according to specialty or condition specific protocols with governance systems in place to evaluate the impact of triage.</w:t>
            </w:r>
          </w:p>
          <w:p w14:paraId="741F3136" w14:textId="77777777" w:rsidR="00CF7B98" w:rsidRPr="00BE4C05" w:rsidRDefault="00CF7B98" w:rsidP="00FF70FE">
            <w:pPr>
              <w:spacing w:after="0"/>
              <w:rPr>
                <w:rFonts w:ascii="Arial" w:eastAsia="Times New Roman" w:hAnsi="Arial" w:cs="Arial"/>
                <w:sz w:val="20"/>
              </w:rPr>
            </w:pPr>
          </w:p>
          <w:p w14:paraId="6BAFEBEF"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MSK</w:t>
            </w:r>
          </w:p>
          <w:p w14:paraId="56FB31D3" w14:textId="77777777" w:rsidR="00CF7B98" w:rsidRPr="00BE4C05" w:rsidRDefault="00CF7B98" w:rsidP="00FF70FE">
            <w:pPr>
              <w:spacing w:after="0"/>
              <w:rPr>
                <w:rFonts w:ascii="Arial" w:eastAsia="Times New Roman" w:hAnsi="Arial" w:cs="Arial"/>
                <w:sz w:val="20"/>
              </w:rPr>
            </w:pPr>
          </w:p>
          <w:p w14:paraId="7DB34B2F"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propose the approach for multidisciplinary triage for agreement with the Commissioner.</w:t>
            </w:r>
          </w:p>
          <w:p w14:paraId="62583A9D" w14:textId="77777777" w:rsidR="00CF7B98" w:rsidRPr="00BE4C05" w:rsidRDefault="00CF7B98" w:rsidP="00FF70FE">
            <w:pPr>
              <w:spacing w:after="0"/>
              <w:rPr>
                <w:rFonts w:ascii="Arial" w:eastAsia="Times New Roman" w:hAnsi="Arial" w:cs="Arial"/>
                <w:sz w:val="20"/>
              </w:rPr>
            </w:pPr>
          </w:p>
          <w:p w14:paraId="6DCD92A4"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lastRenderedPageBreak/>
              <w:t>Arrangements must be in place for service users to receive the outcome of the initial triage and to book the next stage of the community service journey if appropriate.  The outcome decision shall be sent to the service users’ GP via the E-Referral system.</w:t>
            </w:r>
          </w:p>
          <w:p w14:paraId="027F9637" w14:textId="77777777" w:rsidR="00CF7B98" w:rsidRPr="00BE4C05" w:rsidRDefault="00CF7B98" w:rsidP="00FF70FE">
            <w:pPr>
              <w:spacing w:after="0"/>
              <w:rPr>
                <w:rFonts w:ascii="Arial" w:eastAsia="Times New Roman" w:hAnsi="Arial" w:cs="Arial"/>
                <w:sz w:val="20"/>
              </w:rPr>
            </w:pPr>
          </w:p>
          <w:p w14:paraId="73B2808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GPs will have the opportunity to state whether a patient is ‘routine’ or ‘complex’ at point of referral.</w:t>
            </w:r>
          </w:p>
          <w:p w14:paraId="21FA0FB2" w14:textId="77777777" w:rsidR="00CF7B98" w:rsidRPr="00BE4C05" w:rsidRDefault="00CF7B98" w:rsidP="00FF70FE">
            <w:pPr>
              <w:spacing w:after="0"/>
              <w:rPr>
                <w:rFonts w:ascii="Arial" w:eastAsia="Times New Roman" w:hAnsi="Arial" w:cs="Arial"/>
                <w:sz w:val="20"/>
              </w:rPr>
            </w:pPr>
          </w:p>
          <w:p w14:paraId="1138D6E4"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Therefore, the outcomes from the triage process could be:</w:t>
            </w:r>
          </w:p>
          <w:p w14:paraId="4C989749"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Referral returned to the GP for further information or inappropriate referral</w:t>
            </w:r>
          </w:p>
          <w:p w14:paraId="14F096AD"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Advice and guidance given to the GP to enable them to continue managing the patient within primary care</w:t>
            </w:r>
          </w:p>
          <w:p w14:paraId="6CD1257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Service user identified as ‘routine’ or ‘complex’ booked an appropriate appointment for assessment, diagnostic investigation or treatment within the Community MSK Service</w:t>
            </w:r>
          </w:p>
          <w:p w14:paraId="2E963B8A"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Service user referred to secondary care</w:t>
            </w:r>
          </w:p>
          <w:p w14:paraId="5476EEBB" w14:textId="77777777" w:rsidR="00CF7B98" w:rsidRPr="00BE4C05" w:rsidRDefault="00CF7B98" w:rsidP="00FF70FE">
            <w:pPr>
              <w:spacing w:after="0"/>
              <w:rPr>
                <w:rFonts w:ascii="Arial" w:eastAsia="Times New Roman" w:hAnsi="Arial" w:cs="Arial"/>
                <w:sz w:val="20"/>
              </w:rPr>
            </w:pPr>
          </w:p>
          <w:p w14:paraId="71B14E5A"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outcome of triage shall be recorded on the E-Referral System. Information is not required on the status of all referrals but there should be flexibility to view a service user’s referral. GPs practices will have direct access to the SPA to request information on the status of all referrals if further information is required.</w:t>
            </w:r>
          </w:p>
          <w:p w14:paraId="3A17CB68" w14:textId="77777777" w:rsidR="00CF7B98" w:rsidRPr="00BE4C05" w:rsidRDefault="00CF7B98" w:rsidP="00FF70FE">
            <w:pPr>
              <w:spacing w:after="0"/>
              <w:ind w:left="720"/>
              <w:rPr>
                <w:rFonts w:ascii="Arial" w:eastAsia="Times New Roman" w:hAnsi="Arial" w:cs="Arial"/>
                <w:sz w:val="20"/>
              </w:rPr>
            </w:pPr>
          </w:p>
          <w:p w14:paraId="3DE3203C" w14:textId="77777777" w:rsidR="00CF7B98" w:rsidRPr="00BE4C05" w:rsidRDefault="00CF7B98" w:rsidP="00FF70FE">
            <w:pPr>
              <w:spacing w:after="0"/>
              <w:ind w:left="720"/>
              <w:rPr>
                <w:rFonts w:ascii="Arial" w:eastAsia="Times New Roman" w:hAnsi="Arial" w:cs="Arial"/>
                <w:b/>
                <w:sz w:val="20"/>
              </w:rPr>
            </w:pPr>
            <w:r w:rsidRPr="00BE4C05">
              <w:rPr>
                <w:rFonts w:ascii="Arial" w:eastAsia="Times New Roman" w:hAnsi="Arial" w:cs="Arial"/>
                <w:b/>
                <w:sz w:val="20"/>
              </w:rPr>
              <w:t>Pathway Process Map</w:t>
            </w:r>
          </w:p>
          <w:p w14:paraId="4D587443" w14:textId="77777777" w:rsidR="00CF7B98" w:rsidRPr="00BE4C05" w:rsidRDefault="00CF7B98" w:rsidP="00FF70FE">
            <w:pPr>
              <w:spacing w:after="0"/>
              <w:ind w:left="720"/>
              <w:rPr>
                <w:rFonts w:ascii="Arial" w:eastAsia="Times New Roman" w:hAnsi="Arial" w:cs="Arial"/>
                <w:sz w:val="20"/>
              </w:rPr>
            </w:pPr>
            <w:r w:rsidRPr="00BE4C05">
              <w:rPr>
                <w:rFonts w:ascii="Arial" w:eastAsia="Times New Roman" w:hAnsi="Arial" w:cs="Arial"/>
                <w:noProof/>
                <w:sz w:val="20"/>
                <w:lang w:val="en-GB" w:eastAsia="en-GB"/>
              </w:rPr>
              <w:drawing>
                <wp:inline distT="0" distB="0" distL="0" distR="0" wp14:anchorId="2925E009" wp14:editId="74B558C1">
                  <wp:extent cx="4514850" cy="28795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132" cy="2883514"/>
                          </a:xfrm>
                          <a:prstGeom prst="rect">
                            <a:avLst/>
                          </a:prstGeom>
                          <a:noFill/>
                          <a:ln>
                            <a:noFill/>
                          </a:ln>
                        </pic:spPr>
                      </pic:pic>
                    </a:graphicData>
                  </a:graphic>
                </wp:inline>
              </w:drawing>
            </w:r>
          </w:p>
          <w:p w14:paraId="55711FB5" w14:textId="77777777" w:rsidR="00CF7B98" w:rsidRPr="00BE4C05" w:rsidRDefault="00CF7B98" w:rsidP="00FF70FE">
            <w:pPr>
              <w:spacing w:after="0"/>
              <w:rPr>
                <w:rFonts w:ascii="Arial" w:eastAsia="Times New Roman" w:hAnsi="Arial" w:cs="Arial"/>
                <w:sz w:val="20"/>
              </w:rPr>
            </w:pPr>
          </w:p>
          <w:p w14:paraId="6FDA35C6"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4.</w:t>
            </w:r>
            <w:r w:rsidRPr="00BE4C05">
              <w:rPr>
                <w:rFonts w:ascii="Arial" w:eastAsia="Times New Roman" w:hAnsi="Arial" w:cs="Arial"/>
                <w:b/>
                <w:sz w:val="20"/>
              </w:rPr>
              <w:tab/>
              <w:t>Clinical Assessment</w:t>
            </w:r>
          </w:p>
          <w:p w14:paraId="214DD0A9"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A service user will be identified as ‘routine’ or ‘complex’ and appropriate clinical assessment should be provided as a multi-disciplinary assessment of a service user to make sure they get definitive advice and guidance, diagnosis and any treatment that is required within waiting time standards agreed in the contract and to standards set out in relevant NICE guidance.  As a guideline, an onward referral shall be made within 6 weeks of the date of the initial referral from the authorized referrer.</w:t>
            </w:r>
          </w:p>
          <w:p w14:paraId="414AB43E" w14:textId="77777777" w:rsidR="00CF7B98" w:rsidRPr="00BE4C05" w:rsidRDefault="00CF7B98" w:rsidP="00FF70FE">
            <w:pPr>
              <w:spacing w:after="0"/>
              <w:rPr>
                <w:rFonts w:ascii="Arial" w:eastAsia="Times New Roman" w:hAnsi="Arial" w:cs="Arial"/>
                <w:sz w:val="20"/>
              </w:rPr>
            </w:pPr>
          </w:p>
          <w:p w14:paraId="69F187FC"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All service users requiring assessment and/or treatment will be allowed the opportunity to participate in the decision about the course of their treatment and enabled to set goals and outcomes (shared decision making).</w:t>
            </w:r>
          </w:p>
          <w:p w14:paraId="71FACA1A" w14:textId="77777777" w:rsidR="00CF7B98" w:rsidRPr="00BE4C05" w:rsidRDefault="00CF7B98" w:rsidP="00FF70FE">
            <w:pPr>
              <w:spacing w:after="0"/>
              <w:rPr>
                <w:rFonts w:ascii="Arial" w:eastAsia="Times New Roman" w:hAnsi="Arial" w:cs="Arial"/>
                <w:sz w:val="20"/>
              </w:rPr>
            </w:pPr>
          </w:p>
          <w:p w14:paraId="3D28357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communicate with service users triaged as requiring clinical assessment and will offer a choice of date, time and location for the appointment.  The outcome of the clinical assessment will be recorded on the Provider’s clinical information system.</w:t>
            </w:r>
          </w:p>
          <w:p w14:paraId="4A96FC67" w14:textId="77777777" w:rsidR="00CF7B98" w:rsidRPr="00BE4C05" w:rsidRDefault="00CF7B98" w:rsidP="00FF70FE">
            <w:pPr>
              <w:spacing w:after="0"/>
              <w:rPr>
                <w:rFonts w:ascii="Arial" w:eastAsia="Times New Roman" w:hAnsi="Arial" w:cs="Arial"/>
                <w:sz w:val="20"/>
              </w:rPr>
            </w:pPr>
          </w:p>
          <w:p w14:paraId="1D5DD8C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lastRenderedPageBreak/>
              <w:t>If any other information is required, such as diagnostic reports from investigations made by referring GP practices, prior to the clinical assessment appointment, the Provider shall request this information prior to booking the clinical assessment appointment.</w:t>
            </w:r>
          </w:p>
          <w:p w14:paraId="34523092" w14:textId="77777777" w:rsidR="00CF7B98" w:rsidRPr="00BE4C05" w:rsidRDefault="00CF7B98" w:rsidP="00FF70FE">
            <w:pPr>
              <w:spacing w:after="0"/>
              <w:rPr>
                <w:rFonts w:ascii="Arial" w:eastAsia="Times New Roman" w:hAnsi="Arial" w:cs="Arial"/>
                <w:sz w:val="20"/>
              </w:rPr>
            </w:pPr>
          </w:p>
          <w:p w14:paraId="501E288E"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5.</w:t>
            </w:r>
            <w:r w:rsidRPr="00BE4C05">
              <w:rPr>
                <w:rFonts w:ascii="Arial" w:eastAsia="Times New Roman" w:hAnsi="Arial" w:cs="Arial"/>
                <w:b/>
                <w:sz w:val="20"/>
              </w:rPr>
              <w:tab/>
              <w:t>Diagnostics and Review</w:t>
            </w:r>
          </w:p>
          <w:p w14:paraId="3006AF6C"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term ‘diagnostics’ refers to any investigative tests or imaging carried out to aid and support the identification and extent of the service user’s condition.  Where indicated these tests shall be requested or carried out before the referral to Community MSK Service or prior to the initial clinical assessment where agreed as part of the pathway agreed by the Commissioner and Provider.  The Provider will provide information and education to GP practices to improve decision making around appropriate requests for investigations for MSK conditions prior to referral to the Community MSK Service.  Diagnostics requested for patients accepted into the Community MSK Service will be requested following assessment.</w:t>
            </w:r>
          </w:p>
          <w:p w14:paraId="0B8481ED" w14:textId="77777777" w:rsidR="00CF7B98" w:rsidRPr="00BE4C05" w:rsidRDefault="00CF7B98" w:rsidP="00FF70FE">
            <w:pPr>
              <w:spacing w:after="0"/>
              <w:rPr>
                <w:rFonts w:ascii="Arial" w:eastAsia="Times New Roman" w:hAnsi="Arial" w:cs="Arial"/>
                <w:sz w:val="20"/>
              </w:rPr>
            </w:pPr>
          </w:p>
          <w:p w14:paraId="757923B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propose the range of diagnostic investigations to be provided in the community and shall be responsible for funding the investigations that are requested internally by the Provider.  The Provider will not be responsible for funding investigations requested by GP practices prior to referral to the Community MSK Service.  Funding responsibility for investigations other than US, MRI and X-ray will be agreed with the Provider for each additional pathway in operation.</w:t>
            </w:r>
          </w:p>
          <w:p w14:paraId="435BC2F3" w14:textId="77777777" w:rsidR="00CF7B98" w:rsidRPr="00BE4C05" w:rsidRDefault="00CF7B98" w:rsidP="00FF70FE">
            <w:pPr>
              <w:spacing w:after="0"/>
              <w:rPr>
                <w:rFonts w:ascii="Arial" w:eastAsia="Times New Roman" w:hAnsi="Arial" w:cs="Arial"/>
                <w:sz w:val="20"/>
              </w:rPr>
            </w:pPr>
          </w:p>
          <w:p w14:paraId="3252C93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objectives for the referral for diagnostics within the Community MSK Service are to:</w:t>
            </w:r>
          </w:p>
          <w:p w14:paraId="2CFDC36E"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Ensure all service users are referred for the most appropriate clinically indicated tests/imaging </w:t>
            </w:r>
          </w:p>
          <w:p w14:paraId="1E3F304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Ensure that first line diagnostic reasoning and interventions are provided on the same site, same day wherever possible</w:t>
            </w:r>
          </w:p>
          <w:p w14:paraId="792AC031"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In conjunction with diagnostic service providers, maximize the use of new innovations and technology were evidence based, for example, PACS (Picture Archive and Communication Systems) remote reporting, telemedicine etc.</w:t>
            </w:r>
          </w:p>
          <w:p w14:paraId="781C19CC" w14:textId="77777777" w:rsidR="00CF7B98" w:rsidRPr="00BE4C05" w:rsidRDefault="00CF7B98" w:rsidP="00FF70FE">
            <w:pPr>
              <w:spacing w:after="0"/>
              <w:rPr>
                <w:rFonts w:ascii="Arial" w:eastAsia="Times New Roman" w:hAnsi="Arial" w:cs="Arial"/>
                <w:sz w:val="20"/>
              </w:rPr>
            </w:pPr>
          </w:p>
          <w:p w14:paraId="6916AD0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also be required to work with the secondary care sector to ensure that duplicate testing is avoided.</w:t>
            </w:r>
          </w:p>
          <w:p w14:paraId="25F7EFFB" w14:textId="77777777" w:rsidR="00CF7B98" w:rsidRPr="00BE4C05" w:rsidRDefault="00CF7B98" w:rsidP="00FF70FE">
            <w:pPr>
              <w:spacing w:after="0"/>
              <w:rPr>
                <w:rFonts w:ascii="Arial" w:eastAsia="Times New Roman" w:hAnsi="Arial" w:cs="Arial"/>
                <w:sz w:val="20"/>
              </w:rPr>
            </w:pPr>
          </w:p>
          <w:p w14:paraId="33BE4A40"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6.</w:t>
            </w:r>
            <w:r w:rsidRPr="00BE4C05">
              <w:rPr>
                <w:rFonts w:ascii="Arial" w:eastAsia="Times New Roman" w:hAnsi="Arial" w:cs="Arial"/>
                <w:b/>
                <w:sz w:val="20"/>
              </w:rPr>
              <w:tab/>
              <w:t>Treatment and Follow up attendances</w:t>
            </w:r>
          </w:p>
          <w:p w14:paraId="26333977"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comply with all regulatory body standards in the provision of treatment services.</w:t>
            </w:r>
          </w:p>
          <w:p w14:paraId="16305742" w14:textId="77777777" w:rsidR="00CF7B98" w:rsidRPr="00BE4C05" w:rsidRDefault="00CF7B98" w:rsidP="00FF70FE">
            <w:pPr>
              <w:spacing w:after="0"/>
              <w:rPr>
                <w:rFonts w:ascii="Arial" w:eastAsia="Times New Roman" w:hAnsi="Arial" w:cs="Arial"/>
                <w:sz w:val="20"/>
              </w:rPr>
            </w:pPr>
          </w:p>
          <w:p w14:paraId="57904E53"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A range of treatments shall be offered by the Community MSK Service to include, but not limited to:</w:t>
            </w:r>
          </w:p>
          <w:p w14:paraId="5619ADB4"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Physiotherapy – e.g. education (may include group sessions), progressive exercise regime, manual therapy, soft tissue manipulation</w:t>
            </w:r>
          </w:p>
          <w:p w14:paraId="3229AD4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Orthoses to address routine deficiencies </w:t>
            </w:r>
          </w:p>
          <w:p w14:paraId="03E9634D"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Lifestyle advice e.g. smoking cessation, weight management/education, alcohol intake, weight baring activity, facilitate access to leisure activities and education activities </w:t>
            </w:r>
          </w:p>
          <w:p w14:paraId="2B9320AB"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Encouraging self-management and service user education through the use of written and verbal condition specific material and shared decision making</w:t>
            </w:r>
          </w:p>
          <w:p w14:paraId="4659139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Occupational advice and guidance relating to their MSK condition</w:t>
            </w:r>
          </w:p>
          <w:p w14:paraId="62516F0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Treatment by specialist health professionals for example, Extended Scope Physiotherapist and/or GPs with Special Interest, Orthopaedic/Spinal Consultants and.or Sports and Exercise Medicine Consultants.  This may include diagnostics/injections/joint aspirations etc</w:t>
            </w:r>
          </w:p>
          <w:p w14:paraId="691D645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Support service users and their carers where appropriate to adapt and manage changes in their home and work lives that have resulted from their condition</w:t>
            </w:r>
          </w:p>
          <w:p w14:paraId="279E4C2C" w14:textId="77777777" w:rsidR="00CF7B98" w:rsidRPr="00BE4C05" w:rsidRDefault="00CF7B98" w:rsidP="00FF70FE">
            <w:pPr>
              <w:spacing w:after="0"/>
              <w:rPr>
                <w:rFonts w:ascii="Arial" w:eastAsia="Times New Roman" w:hAnsi="Arial" w:cs="Arial"/>
                <w:sz w:val="20"/>
              </w:rPr>
            </w:pPr>
          </w:p>
          <w:p w14:paraId="7EDCF82A"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 will also provide an upper limb splinting service.</w:t>
            </w:r>
          </w:p>
          <w:p w14:paraId="7E296EB2" w14:textId="77777777" w:rsidR="00CF7B98" w:rsidRPr="00BE4C05" w:rsidRDefault="00CF7B98" w:rsidP="00FF70FE">
            <w:pPr>
              <w:spacing w:after="0"/>
              <w:rPr>
                <w:rFonts w:ascii="Arial" w:eastAsia="Times New Roman" w:hAnsi="Arial" w:cs="Arial"/>
                <w:sz w:val="20"/>
              </w:rPr>
            </w:pPr>
          </w:p>
          <w:p w14:paraId="1688A43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It is not envisaged that all service users will require routine follow-up appointments therefore  Commissioners allow a new to follow up ratio of 1:2 for service users </w:t>
            </w:r>
          </w:p>
          <w:p w14:paraId="1310AE12" w14:textId="77777777" w:rsidR="00CF7B98" w:rsidRPr="00BE4C05" w:rsidRDefault="00CF7B98" w:rsidP="00FF70FE">
            <w:pPr>
              <w:spacing w:after="0"/>
              <w:rPr>
                <w:rFonts w:ascii="Arial" w:eastAsia="Times New Roman" w:hAnsi="Arial" w:cs="Arial"/>
                <w:sz w:val="20"/>
              </w:rPr>
            </w:pPr>
          </w:p>
          <w:p w14:paraId="01F2A516"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7.</w:t>
            </w:r>
            <w:r w:rsidRPr="00BE4C05">
              <w:rPr>
                <w:rFonts w:ascii="Arial" w:eastAsia="Times New Roman" w:hAnsi="Arial" w:cs="Arial"/>
                <w:b/>
                <w:sz w:val="20"/>
              </w:rPr>
              <w:tab/>
              <w:t>Fit and Available for Surgery</w:t>
            </w:r>
          </w:p>
          <w:p w14:paraId="54B3E77A"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objectives of fit for surgery assessments in the Community MSK Service are to:</w:t>
            </w:r>
          </w:p>
          <w:p w14:paraId="14C40CCA"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Ensure that service users offered a choice of secondary care provider are fit for surgery and are willing to go ahead with the procedure following shared decision making</w:t>
            </w:r>
          </w:p>
          <w:p w14:paraId="402B673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Ensure that the service user understands the nature, aims and expected outcome of surgery</w:t>
            </w:r>
          </w:p>
          <w:p w14:paraId="5C238DE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Identify any contraindications for surgery and make provision for the service users’ health to be optimized before referral</w:t>
            </w:r>
          </w:p>
          <w:p w14:paraId="5B07F0D2"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Offer the opportunity for direct listing for surgery wherever possible</w:t>
            </w:r>
          </w:p>
          <w:p w14:paraId="5AAE8593" w14:textId="77777777" w:rsidR="00CF7B98" w:rsidRPr="00BE4C05" w:rsidRDefault="00CF7B98" w:rsidP="00FF70FE">
            <w:pPr>
              <w:spacing w:after="0"/>
              <w:rPr>
                <w:rFonts w:ascii="Arial" w:eastAsia="Times New Roman" w:hAnsi="Arial" w:cs="Arial"/>
                <w:sz w:val="20"/>
              </w:rPr>
            </w:pPr>
          </w:p>
          <w:p w14:paraId="744737B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The Provider should agree the fit for surgery health assessment process with local secondary care providers to agree protocols for direct listing and making sure that service users do not experience duplicate assessments.  It shall include treatment and discharge planning provided in the Community MSK Service and will involve liaison with the relevant local authority, primary and community services to ensure that the right services are in place at the right time.  </w:t>
            </w:r>
          </w:p>
          <w:p w14:paraId="6B311CC1" w14:textId="77777777" w:rsidR="00CF7B98" w:rsidRPr="00BE4C05" w:rsidRDefault="00CF7B98" w:rsidP="00FF70FE">
            <w:pPr>
              <w:spacing w:after="0"/>
              <w:rPr>
                <w:rFonts w:ascii="Arial" w:eastAsia="Times New Roman" w:hAnsi="Arial" w:cs="Arial"/>
                <w:sz w:val="20"/>
              </w:rPr>
            </w:pPr>
          </w:p>
          <w:p w14:paraId="5628F7A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Commissioners recognize that for some procedures a further ‘consenting’ appointment may be carried out by the chosen secondary care provider near to the date of surgery to ensure fitness for anaesthesia.</w:t>
            </w:r>
          </w:p>
          <w:p w14:paraId="7CB1658E" w14:textId="77777777" w:rsidR="00CF7B98" w:rsidRPr="00BE4C05" w:rsidRDefault="00CF7B98" w:rsidP="00FF70FE">
            <w:pPr>
              <w:spacing w:after="0"/>
              <w:rPr>
                <w:rFonts w:ascii="Arial" w:eastAsia="Times New Roman" w:hAnsi="Arial" w:cs="Arial"/>
                <w:sz w:val="20"/>
              </w:rPr>
            </w:pPr>
          </w:p>
          <w:p w14:paraId="3C91F903"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8.</w:t>
            </w:r>
            <w:r w:rsidRPr="00BE4C05">
              <w:rPr>
                <w:rFonts w:ascii="Arial" w:eastAsia="Times New Roman" w:hAnsi="Arial" w:cs="Arial"/>
                <w:b/>
                <w:sz w:val="20"/>
              </w:rPr>
              <w:tab/>
              <w:t>Onward Referral</w:t>
            </w:r>
          </w:p>
          <w:p w14:paraId="470ACED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Onward referral requires the service user to be offered the choice of referral to a provider for treatment or interventions that are not available within the Community MSK Service because of:</w:t>
            </w:r>
          </w:p>
          <w:p w14:paraId="04AD02E5"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Urgency</w:t>
            </w:r>
          </w:p>
          <w:p w14:paraId="7C54ABE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Multiple Pathologies</w:t>
            </w:r>
          </w:p>
          <w:p w14:paraId="5754D820"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Complexity</w:t>
            </w:r>
          </w:p>
          <w:p w14:paraId="6CF4177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Overnight stay required</w:t>
            </w:r>
          </w:p>
          <w:p w14:paraId="6B353A3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Service/procedure not available within/not suitable for the Community MSK service</w:t>
            </w:r>
          </w:p>
          <w:p w14:paraId="74087334" w14:textId="77777777" w:rsidR="00CF7B98" w:rsidRPr="00BE4C05" w:rsidRDefault="00CF7B98" w:rsidP="00FF70FE">
            <w:pPr>
              <w:spacing w:after="0"/>
              <w:rPr>
                <w:rFonts w:ascii="Arial" w:eastAsia="Times New Roman" w:hAnsi="Arial" w:cs="Arial"/>
                <w:sz w:val="20"/>
              </w:rPr>
            </w:pPr>
          </w:p>
          <w:p w14:paraId="03387686"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Consequently, all service users referred onwards from the Community MSK Service to secondary care, or to other community or primary care services, must have a full care transfer plan that has also been provided to the referring clinician, and includes:</w:t>
            </w:r>
          </w:p>
          <w:p w14:paraId="2827A40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Full assessment with summary of findings;</w:t>
            </w:r>
          </w:p>
          <w:p w14:paraId="13CDA1D4"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The results of all tests and fit for surgery assessment;</w:t>
            </w:r>
          </w:p>
          <w:p w14:paraId="52C60C5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Recommended procedure(s) or diagnostics where appropriate</w:t>
            </w:r>
          </w:p>
          <w:p w14:paraId="12D46D01"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Full information about any recommended procedure(s)</w:t>
            </w:r>
          </w:p>
          <w:p w14:paraId="7A667B74" w14:textId="77777777" w:rsidR="00CF7B98" w:rsidRPr="00BE4C05" w:rsidRDefault="00CF7B98" w:rsidP="00FF70FE">
            <w:pPr>
              <w:spacing w:after="0"/>
              <w:rPr>
                <w:rFonts w:ascii="Arial" w:eastAsia="Times New Roman" w:hAnsi="Arial" w:cs="Arial"/>
                <w:sz w:val="20"/>
              </w:rPr>
            </w:pPr>
          </w:p>
          <w:p w14:paraId="489B04E8"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Provider shall make arrangements to offer the service user a choice of secondary care provider.  Choice shall be offered during the clinical appointment in the Community MSK Service and again by the Providers SPA at the point of referring on to secondary care.</w:t>
            </w:r>
          </w:p>
          <w:p w14:paraId="7E18042E" w14:textId="77777777" w:rsidR="00CF7B98" w:rsidRPr="00BE4C05" w:rsidRDefault="00CF7B98" w:rsidP="00FF70FE">
            <w:pPr>
              <w:spacing w:after="0"/>
              <w:rPr>
                <w:rFonts w:ascii="Arial" w:eastAsia="Times New Roman" w:hAnsi="Arial" w:cs="Arial"/>
                <w:sz w:val="20"/>
              </w:rPr>
            </w:pPr>
          </w:p>
          <w:p w14:paraId="7A6558FC"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9.</w:t>
            </w:r>
            <w:r w:rsidRPr="00BE4C05">
              <w:rPr>
                <w:rFonts w:ascii="Arial" w:eastAsia="Times New Roman" w:hAnsi="Arial" w:cs="Arial"/>
                <w:b/>
                <w:sz w:val="20"/>
              </w:rPr>
              <w:tab/>
              <w:t>Discharge to Referring Clinician with Advice</w:t>
            </w:r>
          </w:p>
          <w:p w14:paraId="1D13BA8E"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Discharge occurs when the Community MSK Service clinician reaches a stage where no further action will take place with the service user’s referral – it should take place as soon as clinically appropriate – with which the service user is directed back to the originator of the referral.</w:t>
            </w:r>
          </w:p>
          <w:p w14:paraId="18E88892" w14:textId="77777777" w:rsidR="00CF7B98" w:rsidRPr="00BE4C05" w:rsidRDefault="00CF7B98" w:rsidP="00FF70FE">
            <w:pPr>
              <w:spacing w:after="0"/>
              <w:rPr>
                <w:rFonts w:ascii="Arial" w:eastAsia="Times New Roman" w:hAnsi="Arial" w:cs="Arial"/>
                <w:sz w:val="20"/>
              </w:rPr>
            </w:pPr>
          </w:p>
          <w:p w14:paraId="2BCBF83F"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At the point of discharge from the Community MSK Service, the Provider will be required to produce a discharge plan, to be communicated electronically, which includes:</w:t>
            </w:r>
          </w:p>
          <w:p w14:paraId="4AFF4CF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Full assessment with summary of findings, including any treatments carried out in the Community MSK Service, including outcomes achieved</w:t>
            </w:r>
          </w:p>
          <w:p w14:paraId="3F39B0B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The results of all tests and any fit for surgery assessment.  Recommended procedure(s) or diagnostics where appropriate</w:t>
            </w:r>
          </w:p>
          <w:p w14:paraId="233E6E9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lastRenderedPageBreak/>
              <w:t>Full information about any recommended procedure(s)</w:t>
            </w:r>
          </w:p>
          <w:p w14:paraId="2D269E6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Recommendations for ongoing care if the patient is not being referred onwards</w:t>
            </w:r>
          </w:p>
          <w:p w14:paraId="3D98C58B" w14:textId="77777777" w:rsidR="00CF7B98" w:rsidRPr="00BE4C05" w:rsidRDefault="00CF7B98" w:rsidP="00FF70FE">
            <w:pPr>
              <w:spacing w:after="0"/>
              <w:rPr>
                <w:rFonts w:ascii="Arial" w:eastAsia="Times New Roman" w:hAnsi="Arial" w:cs="Arial"/>
                <w:sz w:val="20"/>
              </w:rPr>
            </w:pPr>
          </w:p>
          <w:p w14:paraId="28DF285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This information shall be transferred electronically within 2 working days of the service user being discharged from the Community MSK Service.   If for some reason this is not possible, the delay shall be communicated to the referring clinician.</w:t>
            </w:r>
          </w:p>
          <w:p w14:paraId="141B1F9F" w14:textId="77777777" w:rsidR="00CF7B98" w:rsidRPr="00BE4C05" w:rsidRDefault="00CF7B98" w:rsidP="00FF70FE">
            <w:pPr>
              <w:spacing w:after="0"/>
              <w:rPr>
                <w:rFonts w:ascii="Arial" w:eastAsia="Times New Roman" w:hAnsi="Arial" w:cs="Arial"/>
                <w:sz w:val="20"/>
              </w:rPr>
            </w:pPr>
          </w:p>
          <w:p w14:paraId="6F98C8F6"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A copy of this documentation should normally be given to the service user as they progress through the Community MSK Service if they have indicated a wish to receive this information.  The discharge documents shall conform to an agreed minimum standard and service user consultations will conform with an agreed minimum data set to enable reporting on outcomes.</w:t>
            </w:r>
          </w:p>
          <w:p w14:paraId="53627A08" w14:textId="77777777" w:rsidR="00CF7B98" w:rsidRPr="00BE4C05" w:rsidRDefault="00CF7B98" w:rsidP="00FF70FE">
            <w:pPr>
              <w:spacing w:after="0"/>
              <w:rPr>
                <w:rFonts w:ascii="Arial" w:eastAsia="Times New Roman" w:hAnsi="Arial" w:cs="Arial"/>
                <w:sz w:val="20"/>
              </w:rPr>
            </w:pPr>
          </w:p>
          <w:p w14:paraId="03F057B5"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Service Model</w:t>
            </w:r>
          </w:p>
          <w:p w14:paraId="36616337"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It is essential that a suitable clinical or service user administration system is used for service provision for the purposes of:</w:t>
            </w:r>
          </w:p>
          <w:p w14:paraId="5128121E"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Electronic record keeping;</w:t>
            </w:r>
          </w:p>
          <w:p w14:paraId="094BDA46"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Appointment booking;</w:t>
            </w:r>
          </w:p>
          <w:p w14:paraId="3E016CF2"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Data and key performance indicator monitoring;</w:t>
            </w:r>
          </w:p>
          <w:p w14:paraId="57BD5E9F"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Management reporting</w:t>
            </w:r>
          </w:p>
          <w:p w14:paraId="16E3EA62" w14:textId="77777777" w:rsidR="00CF7B98" w:rsidRPr="00BE4C05" w:rsidRDefault="00CF7B98" w:rsidP="00FF70FE">
            <w:pPr>
              <w:spacing w:after="0"/>
              <w:rPr>
                <w:rFonts w:ascii="Arial" w:eastAsia="Times New Roman" w:hAnsi="Arial" w:cs="Arial"/>
                <w:sz w:val="20"/>
              </w:rPr>
            </w:pPr>
          </w:p>
          <w:p w14:paraId="40A3654D" w14:textId="77777777" w:rsidR="00CF7B98" w:rsidRPr="00BE4C05" w:rsidRDefault="00CF7B98" w:rsidP="00FF70FE">
            <w:pPr>
              <w:spacing w:after="0"/>
              <w:rPr>
                <w:rFonts w:ascii="Arial" w:hAnsi="Arial" w:cs="Arial"/>
                <w:b/>
                <w:sz w:val="20"/>
              </w:rPr>
            </w:pPr>
            <w:r w:rsidRPr="00BE4C05">
              <w:rPr>
                <w:rFonts w:ascii="Arial" w:hAnsi="Arial" w:cs="Arial"/>
                <w:b/>
                <w:sz w:val="20"/>
              </w:rPr>
              <w:t>3.3</w:t>
            </w:r>
            <w:r w:rsidRPr="00BE4C05">
              <w:rPr>
                <w:rFonts w:ascii="Arial" w:hAnsi="Arial" w:cs="Arial"/>
                <w:b/>
                <w:sz w:val="20"/>
              </w:rPr>
              <w:tab/>
              <w:t>Population covered</w:t>
            </w:r>
          </w:p>
          <w:p w14:paraId="5772218C" w14:textId="3572F2D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The areas in Nottinghamshire County which are included in this specification cover a registered population of 238,407.  This population is registered with GP practices in areas which will be part of Nottingham West </w:t>
            </w:r>
            <w:r w:rsidR="00BB542F">
              <w:rPr>
                <w:rFonts w:ascii="Arial" w:eastAsia="Times New Roman" w:hAnsi="Arial" w:cs="Arial"/>
                <w:sz w:val="20"/>
              </w:rPr>
              <w:t>locality and</w:t>
            </w:r>
            <w:r w:rsidRPr="00BE4C05">
              <w:rPr>
                <w:rFonts w:ascii="Arial" w:eastAsia="Times New Roman" w:hAnsi="Arial" w:cs="Arial"/>
                <w:sz w:val="20"/>
              </w:rPr>
              <w:t xml:space="preserve"> Nottingham North and East </w:t>
            </w:r>
            <w:r w:rsidR="00BB542F">
              <w:rPr>
                <w:rFonts w:ascii="Arial" w:eastAsia="Times New Roman" w:hAnsi="Arial" w:cs="Arial"/>
                <w:sz w:val="20"/>
              </w:rPr>
              <w:t>locality</w:t>
            </w:r>
            <w:r w:rsidRPr="00BE4C05">
              <w:rPr>
                <w:rFonts w:ascii="Arial" w:eastAsia="Times New Roman" w:hAnsi="Arial" w:cs="Arial"/>
                <w:sz w:val="20"/>
              </w:rPr>
              <w:t>.</w:t>
            </w:r>
          </w:p>
          <w:p w14:paraId="507DEB40" w14:textId="77777777" w:rsidR="00CF7B98" w:rsidRPr="00BE4C05" w:rsidRDefault="00CF7B98" w:rsidP="00FF70FE">
            <w:pPr>
              <w:spacing w:after="0"/>
              <w:rPr>
                <w:rFonts w:ascii="Arial" w:hAnsi="Arial" w:cs="Arial"/>
                <w:sz w:val="20"/>
              </w:rPr>
            </w:pPr>
          </w:p>
          <w:p w14:paraId="228A67AA" w14:textId="77777777" w:rsidR="00CF7B98" w:rsidRPr="00BE4C05" w:rsidRDefault="00CF7B98" w:rsidP="00FF70FE">
            <w:pPr>
              <w:spacing w:after="0"/>
              <w:rPr>
                <w:rFonts w:ascii="Arial" w:hAnsi="Arial" w:cs="Arial"/>
                <w:b/>
                <w:sz w:val="20"/>
              </w:rPr>
            </w:pPr>
            <w:r w:rsidRPr="00BE4C05">
              <w:rPr>
                <w:rFonts w:ascii="Arial" w:hAnsi="Arial" w:cs="Arial"/>
                <w:b/>
                <w:sz w:val="20"/>
              </w:rPr>
              <w:t>3.4</w:t>
            </w:r>
            <w:r w:rsidRPr="00BE4C05">
              <w:rPr>
                <w:rFonts w:ascii="Arial" w:hAnsi="Arial" w:cs="Arial"/>
                <w:b/>
                <w:sz w:val="20"/>
              </w:rPr>
              <w:tab/>
              <w:t>Any acceptance and exclusion criteria and thresholds</w:t>
            </w:r>
          </w:p>
          <w:p w14:paraId="32B7AAD1"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 shall be for patients aged 16 years and over and will operate 52 weeks of the year, excluding bank holidays.  The Provider shall ensure that some services are provided outside core (Monday to Friday, 9am to 5pm) working hours every week that the service operates.</w:t>
            </w:r>
          </w:p>
          <w:p w14:paraId="4B20E765" w14:textId="77777777" w:rsidR="00CF7B98" w:rsidRPr="00BE4C05" w:rsidRDefault="00CF7B98" w:rsidP="00FF70FE">
            <w:pPr>
              <w:spacing w:after="0"/>
              <w:rPr>
                <w:rFonts w:ascii="Arial" w:eastAsia="Times New Roman" w:hAnsi="Arial" w:cs="Arial"/>
                <w:sz w:val="20"/>
              </w:rPr>
            </w:pPr>
          </w:p>
          <w:p w14:paraId="4859F4DE"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procedure for booking appointments at the Community MSK Service shall be set out by the Provider and shall operate in a way that improves access to the service, ensures service users have a positive experience of booking an appointment and minimizes the number of DNAs (Did Not Attend).</w:t>
            </w:r>
          </w:p>
          <w:p w14:paraId="3E13C70F" w14:textId="77777777" w:rsidR="00CF7B98" w:rsidRPr="00BE4C05" w:rsidRDefault="00CF7B98" w:rsidP="00FF70FE">
            <w:pPr>
              <w:spacing w:after="0"/>
              <w:rPr>
                <w:rFonts w:ascii="Arial" w:eastAsia="Times New Roman" w:hAnsi="Arial" w:cs="Arial"/>
                <w:sz w:val="20"/>
              </w:rPr>
            </w:pPr>
          </w:p>
          <w:p w14:paraId="17C85F32" w14:textId="77777777" w:rsidR="00CF7B98" w:rsidRPr="00BE4C05" w:rsidRDefault="00CF7B98" w:rsidP="00FF70FE">
            <w:pPr>
              <w:spacing w:after="0"/>
              <w:rPr>
                <w:rFonts w:ascii="Arial" w:eastAsia="Times New Roman" w:hAnsi="Arial" w:cs="Arial"/>
                <w:b/>
                <w:sz w:val="20"/>
              </w:rPr>
            </w:pPr>
            <w:r w:rsidRPr="00BE4C05">
              <w:rPr>
                <w:rFonts w:ascii="Arial" w:eastAsia="Times New Roman" w:hAnsi="Arial" w:cs="Arial"/>
                <w:b/>
                <w:sz w:val="20"/>
              </w:rPr>
              <w:t>Exclusion Criteria:</w:t>
            </w:r>
          </w:p>
          <w:p w14:paraId="7CF8C55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Immediate life threatening conditions;</w:t>
            </w:r>
          </w:p>
          <w:p w14:paraId="6EB7CC6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Acute Trauma e.g. RTA or fall from a significant height, still in acute phase</w:t>
            </w:r>
          </w:p>
          <w:p w14:paraId="1C29B356"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Children (under 16s)</w:t>
            </w:r>
          </w:p>
          <w:p w14:paraId="06D19FF8"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Service users with suspected red flags e.g. cauda-equina, systemically unwell, significant weight loss suggestive of serious infection or malignancy </w:t>
            </w:r>
          </w:p>
          <w:p w14:paraId="32F2A9A3"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 xml:space="preserve">Progressive neurological deterioration </w:t>
            </w:r>
          </w:p>
          <w:p w14:paraId="2262A311"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Post-surgical service user/post-fracture service users;</w:t>
            </w:r>
          </w:p>
          <w:p w14:paraId="3D167647" w14:textId="77777777" w:rsidR="00CF7B98" w:rsidRPr="00BE4C05" w:rsidRDefault="00CF7B98" w:rsidP="007551BF">
            <w:pPr>
              <w:numPr>
                <w:ilvl w:val="0"/>
                <w:numId w:val="19"/>
              </w:numPr>
              <w:spacing w:after="0"/>
              <w:rPr>
                <w:rFonts w:ascii="Arial" w:eastAsia="Times New Roman" w:hAnsi="Arial" w:cs="Arial"/>
                <w:sz w:val="20"/>
              </w:rPr>
            </w:pPr>
            <w:r w:rsidRPr="00BE4C05">
              <w:rPr>
                <w:rFonts w:ascii="Arial" w:eastAsia="Times New Roman" w:hAnsi="Arial" w:cs="Arial"/>
                <w:sz w:val="20"/>
              </w:rPr>
              <w:t>Those service users awaiting a consultant opinion where there is no recognized benefit from referral to the Community MSK Service</w:t>
            </w:r>
          </w:p>
          <w:p w14:paraId="21C456FD" w14:textId="77777777" w:rsidR="00CF7B98" w:rsidRPr="00BE4C05" w:rsidRDefault="00CF7B98" w:rsidP="00FF70FE">
            <w:pPr>
              <w:spacing w:after="0"/>
              <w:rPr>
                <w:rFonts w:ascii="Arial" w:eastAsia="Times New Roman" w:hAnsi="Arial" w:cs="Arial"/>
                <w:sz w:val="20"/>
              </w:rPr>
            </w:pPr>
          </w:p>
          <w:p w14:paraId="0449EF8C" w14:textId="77777777" w:rsidR="00CF7B98" w:rsidRPr="00BE4C05" w:rsidRDefault="00CF7B98" w:rsidP="00FF70FE">
            <w:pPr>
              <w:spacing w:after="0"/>
              <w:rPr>
                <w:rFonts w:ascii="Arial" w:hAnsi="Arial" w:cs="Arial"/>
                <w:b/>
                <w:sz w:val="20"/>
              </w:rPr>
            </w:pPr>
            <w:r w:rsidRPr="00BE4C05">
              <w:rPr>
                <w:rFonts w:ascii="Arial" w:hAnsi="Arial" w:cs="Arial"/>
                <w:b/>
                <w:sz w:val="20"/>
              </w:rPr>
              <w:t>3.5</w:t>
            </w:r>
            <w:r w:rsidRPr="00BE4C05">
              <w:rPr>
                <w:rFonts w:ascii="Arial" w:hAnsi="Arial" w:cs="Arial"/>
                <w:b/>
                <w:sz w:val="20"/>
              </w:rPr>
              <w:tab/>
              <w:t>Interdependence with other services/providers</w:t>
            </w:r>
          </w:p>
          <w:p w14:paraId="237773DA"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 shall be dependent on referrals from primary and secondary care professionals and the development of good working relationships with all local acute hospitals, community services and voluntary organisations.</w:t>
            </w:r>
          </w:p>
          <w:p w14:paraId="38A42932" w14:textId="77777777" w:rsidR="00CF7B98" w:rsidRPr="00BE4C05" w:rsidRDefault="00CF7B98" w:rsidP="00FF70FE">
            <w:pPr>
              <w:spacing w:after="0"/>
              <w:rPr>
                <w:rFonts w:ascii="Arial" w:eastAsia="Times New Roman" w:hAnsi="Arial" w:cs="Arial"/>
                <w:sz w:val="20"/>
              </w:rPr>
            </w:pPr>
          </w:p>
          <w:p w14:paraId="0CCD2315"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The Service shall work as the interface between primary and secondary care.  The Service shall collaborate with a range of clinicians from primary and secondary care providers and established community providers who will work within a range of locations.  This collaborative approach to service user care shall develop and sustain good relationships, ensure that the skills set reflects service user and service need, provide a high quality service and optimize working relationships between primary and secondary </w:t>
            </w:r>
            <w:r w:rsidRPr="00BE4C05">
              <w:rPr>
                <w:rFonts w:ascii="Arial" w:eastAsia="Times New Roman" w:hAnsi="Arial" w:cs="Arial"/>
                <w:sz w:val="20"/>
              </w:rPr>
              <w:lastRenderedPageBreak/>
              <w:t>care.  This shall be reflected in agreements to directly list service users at their chosen provider.</w:t>
            </w:r>
          </w:p>
          <w:p w14:paraId="34C78DC8" w14:textId="77777777" w:rsidR="00CF7B98" w:rsidRPr="00BE4C05" w:rsidRDefault="00CF7B98" w:rsidP="00FF70FE">
            <w:pPr>
              <w:spacing w:after="0"/>
              <w:rPr>
                <w:rFonts w:ascii="Arial" w:eastAsia="Times New Roman" w:hAnsi="Arial" w:cs="Arial"/>
                <w:sz w:val="20"/>
              </w:rPr>
            </w:pPr>
          </w:p>
          <w:p w14:paraId="6697117D" w14:textId="7777777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The Service shall possess strong leadership and will ensure the involvement of service users, health and social care staff from all sectors (primary and secondary) and the voluntary sector.</w:t>
            </w:r>
          </w:p>
          <w:p w14:paraId="4C86CE76" w14:textId="77777777" w:rsidR="00CF7B98" w:rsidRPr="00BE4C05" w:rsidRDefault="00CF7B98" w:rsidP="00FF70FE">
            <w:pPr>
              <w:spacing w:after="0"/>
              <w:rPr>
                <w:rFonts w:ascii="Arial" w:hAnsi="Arial" w:cs="Arial"/>
                <w:sz w:val="20"/>
              </w:rPr>
            </w:pPr>
          </w:p>
        </w:tc>
      </w:tr>
      <w:tr w:rsidR="00CF7B98" w:rsidRPr="00BE4C05" w14:paraId="50E817E6" w14:textId="77777777" w:rsidTr="00FF70FE">
        <w:tc>
          <w:tcPr>
            <w:tcW w:w="8414" w:type="dxa"/>
            <w:shd w:val="clear" w:color="auto" w:fill="auto"/>
          </w:tcPr>
          <w:p w14:paraId="4DA1BD4D" w14:textId="77777777" w:rsidR="00CF7B98" w:rsidRPr="00BE4C05" w:rsidRDefault="00CF7B98" w:rsidP="00FF70FE">
            <w:pPr>
              <w:spacing w:after="0"/>
              <w:rPr>
                <w:rFonts w:ascii="Arial" w:hAnsi="Arial" w:cs="Arial"/>
                <w:b/>
                <w:sz w:val="20"/>
              </w:rPr>
            </w:pPr>
            <w:r w:rsidRPr="00BE4C05">
              <w:rPr>
                <w:rFonts w:ascii="Arial" w:hAnsi="Arial" w:cs="Arial"/>
                <w:b/>
                <w:sz w:val="20"/>
              </w:rPr>
              <w:lastRenderedPageBreak/>
              <w:t>4.</w:t>
            </w:r>
            <w:r w:rsidRPr="00BE4C05">
              <w:rPr>
                <w:rFonts w:ascii="Arial" w:hAnsi="Arial" w:cs="Arial"/>
                <w:b/>
                <w:sz w:val="20"/>
              </w:rPr>
              <w:tab/>
              <w:t>Applicable Service Standards</w:t>
            </w:r>
          </w:p>
        </w:tc>
      </w:tr>
      <w:tr w:rsidR="00CF7B98" w:rsidRPr="00BE4C05" w14:paraId="769C2FFF" w14:textId="77777777" w:rsidTr="00FF70FE">
        <w:tc>
          <w:tcPr>
            <w:tcW w:w="8414" w:type="dxa"/>
            <w:shd w:val="clear" w:color="auto" w:fill="auto"/>
          </w:tcPr>
          <w:p w14:paraId="72E9C617" w14:textId="77777777" w:rsidR="00CF7B98" w:rsidRPr="00BE4C05" w:rsidRDefault="00CF7B98" w:rsidP="00FF70FE">
            <w:pPr>
              <w:spacing w:after="0"/>
              <w:rPr>
                <w:rFonts w:ascii="Arial" w:hAnsi="Arial" w:cs="Arial"/>
                <w:sz w:val="20"/>
              </w:rPr>
            </w:pPr>
          </w:p>
          <w:p w14:paraId="0D616402" w14:textId="77777777" w:rsidR="00CF7B98" w:rsidRPr="00BE4C05" w:rsidRDefault="00CF7B98" w:rsidP="00FF70FE">
            <w:pPr>
              <w:spacing w:after="0"/>
              <w:rPr>
                <w:rFonts w:ascii="Arial" w:hAnsi="Arial" w:cs="Arial"/>
                <w:b/>
                <w:sz w:val="20"/>
              </w:rPr>
            </w:pPr>
            <w:r w:rsidRPr="00BE4C05">
              <w:rPr>
                <w:rFonts w:ascii="Arial" w:hAnsi="Arial" w:cs="Arial"/>
                <w:b/>
                <w:sz w:val="20"/>
              </w:rPr>
              <w:t>4.1</w:t>
            </w:r>
            <w:r w:rsidRPr="00BE4C05">
              <w:rPr>
                <w:rFonts w:ascii="Arial" w:hAnsi="Arial" w:cs="Arial"/>
                <w:b/>
                <w:sz w:val="20"/>
              </w:rPr>
              <w:tab/>
              <w:t>Applicable national standards (eg NICE)</w:t>
            </w:r>
          </w:p>
          <w:p w14:paraId="6C4659BF"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Darzi, A.W. 2008. High Quality Care for All: NHS Next Stage Review Final Report, London, The Crown</w:t>
            </w:r>
          </w:p>
          <w:p w14:paraId="61EDD6FE"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Department of Health, 2006. Musculoskeletal Services Framework – A Joint Responsibility: Doing it Differently</w:t>
            </w:r>
          </w:p>
          <w:p w14:paraId="7C5DA99C"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Department of Health, 2007. National Service Framework for Long Term Conditions, London, The Crown</w:t>
            </w:r>
          </w:p>
          <w:p w14:paraId="3040AF9F"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NICE Guidance, 2008, Osteoarthritis: The Care and Management of Osteoarthritis in Adults (CG59)</w:t>
            </w:r>
          </w:p>
          <w:p w14:paraId="3C9E3A9B"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NICE Guidance 2009, Rheumatoid Arthritis: The Management of Rheumatoid Arthritis in Adults (CG79)</w:t>
            </w:r>
          </w:p>
          <w:p w14:paraId="1D3B2FF7"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NICE Guidance, Low Back Pain: Early Management of Non-Specific Low Back Pain (CG88)</w:t>
            </w:r>
          </w:p>
          <w:p w14:paraId="02ABE08A" w14:textId="77777777" w:rsidR="00CF7B98" w:rsidRPr="00BE4C05" w:rsidRDefault="00CF7B98" w:rsidP="007551BF">
            <w:pPr>
              <w:numPr>
                <w:ilvl w:val="0"/>
                <w:numId w:val="20"/>
              </w:numPr>
              <w:spacing w:after="0"/>
              <w:rPr>
                <w:rFonts w:ascii="Arial" w:eastAsia="Times New Roman" w:hAnsi="Arial" w:cs="Arial"/>
                <w:sz w:val="20"/>
              </w:rPr>
            </w:pPr>
            <w:r w:rsidRPr="00BE4C05">
              <w:rPr>
                <w:rFonts w:ascii="Arial" w:eastAsia="Times New Roman" w:hAnsi="Arial" w:cs="Arial"/>
                <w:sz w:val="20"/>
              </w:rPr>
              <w:t>Department of Health, 2011, NHS Outcomes Framework 2011/12</w:t>
            </w:r>
          </w:p>
          <w:p w14:paraId="16D1BE64" w14:textId="77777777" w:rsidR="00CF7B98" w:rsidRPr="00BE4C05" w:rsidRDefault="00CF7B98" w:rsidP="00FF70FE">
            <w:pPr>
              <w:spacing w:after="0"/>
              <w:rPr>
                <w:rFonts w:ascii="Arial" w:hAnsi="Arial" w:cs="Arial"/>
                <w:sz w:val="20"/>
              </w:rPr>
            </w:pPr>
          </w:p>
          <w:p w14:paraId="0781B4E9" w14:textId="77777777" w:rsidR="00CF7B98" w:rsidRPr="00BE4C05" w:rsidRDefault="00CF7B98" w:rsidP="00FF70FE">
            <w:pPr>
              <w:spacing w:after="0"/>
              <w:ind w:left="743" w:hanging="743"/>
              <w:rPr>
                <w:rFonts w:ascii="Arial" w:hAnsi="Arial" w:cs="Arial"/>
                <w:b/>
                <w:sz w:val="20"/>
              </w:rPr>
            </w:pPr>
            <w:r w:rsidRPr="00BE4C05">
              <w:rPr>
                <w:rFonts w:ascii="Arial" w:hAnsi="Arial" w:cs="Arial"/>
                <w:b/>
                <w:sz w:val="20"/>
              </w:rPr>
              <w:t>4.2</w:t>
            </w:r>
            <w:r w:rsidRPr="00BE4C05">
              <w:rPr>
                <w:rFonts w:ascii="Arial" w:hAnsi="Arial" w:cs="Arial"/>
                <w:b/>
                <w:sz w:val="20"/>
              </w:rPr>
              <w:tab/>
              <w:t>Applicable standards set out in Guidance and/or issued by a competent body (eg Royal Colleges)</w:t>
            </w:r>
          </w:p>
          <w:p w14:paraId="16060A11" w14:textId="77777777" w:rsidR="00CF7B98" w:rsidRPr="00BE4C05" w:rsidRDefault="00CF7B98" w:rsidP="00FF70FE">
            <w:pPr>
              <w:spacing w:after="0"/>
              <w:ind w:left="743" w:hanging="743"/>
              <w:rPr>
                <w:rFonts w:ascii="Arial" w:hAnsi="Arial" w:cs="Arial"/>
                <w:sz w:val="20"/>
              </w:rPr>
            </w:pPr>
          </w:p>
          <w:p w14:paraId="00BCE33B" w14:textId="77777777" w:rsidR="00CF7B98" w:rsidRPr="00BE4C05" w:rsidRDefault="00CF7B98" w:rsidP="00FF70FE">
            <w:pPr>
              <w:spacing w:after="0"/>
              <w:rPr>
                <w:rFonts w:ascii="Arial" w:hAnsi="Arial" w:cs="Arial"/>
                <w:b/>
                <w:sz w:val="20"/>
              </w:rPr>
            </w:pPr>
            <w:r w:rsidRPr="00BE4C05">
              <w:rPr>
                <w:rFonts w:ascii="Arial" w:hAnsi="Arial" w:cs="Arial"/>
                <w:b/>
                <w:sz w:val="20"/>
              </w:rPr>
              <w:t>4.3</w:t>
            </w:r>
            <w:r w:rsidRPr="00BE4C05">
              <w:rPr>
                <w:rFonts w:ascii="Arial" w:hAnsi="Arial" w:cs="Arial"/>
                <w:b/>
                <w:sz w:val="20"/>
              </w:rPr>
              <w:tab/>
              <w:t>Applicable local standards</w:t>
            </w:r>
          </w:p>
          <w:p w14:paraId="6965F29F" w14:textId="77777777" w:rsidR="00CF7B98" w:rsidRPr="00BE4C05" w:rsidRDefault="00CF7B98" w:rsidP="007551BF">
            <w:pPr>
              <w:numPr>
                <w:ilvl w:val="0"/>
                <w:numId w:val="21"/>
              </w:numPr>
              <w:spacing w:after="0"/>
              <w:rPr>
                <w:rFonts w:ascii="Arial" w:eastAsia="Times New Roman" w:hAnsi="Arial" w:cs="Arial"/>
                <w:sz w:val="20"/>
              </w:rPr>
            </w:pPr>
            <w:r w:rsidRPr="00BE4C05">
              <w:rPr>
                <w:rFonts w:ascii="Arial" w:eastAsia="Times New Roman" w:hAnsi="Arial" w:cs="Arial"/>
                <w:sz w:val="20"/>
              </w:rPr>
              <w:t>NHS Nottinghamshire County, 2011, Procedures of Limited Clinical Value Policy</w:t>
            </w:r>
          </w:p>
          <w:p w14:paraId="0719B3B4" w14:textId="77777777" w:rsidR="00CF7B98" w:rsidRPr="00BE4C05" w:rsidRDefault="00CF7B98" w:rsidP="007551BF">
            <w:pPr>
              <w:numPr>
                <w:ilvl w:val="0"/>
                <w:numId w:val="21"/>
              </w:numPr>
              <w:spacing w:after="0"/>
              <w:rPr>
                <w:rFonts w:ascii="Arial" w:eastAsia="Times New Roman" w:hAnsi="Arial" w:cs="Arial"/>
                <w:sz w:val="20"/>
              </w:rPr>
            </w:pPr>
            <w:r w:rsidRPr="00BE4C05">
              <w:rPr>
                <w:rFonts w:ascii="Arial" w:eastAsia="Times New Roman" w:hAnsi="Arial" w:cs="Arial"/>
                <w:sz w:val="20"/>
              </w:rPr>
              <w:t>NHS Nottinghamshire County, 2008, Joint Strategic Needs Assessment (JSNA)</w:t>
            </w:r>
          </w:p>
          <w:p w14:paraId="000FBB97" w14:textId="77777777" w:rsidR="00CF7B98" w:rsidRPr="00BE4C05" w:rsidRDefault="00CF7B98" w:rsidP="00FF70FE">
            <w:pPr>
              <w:spacing w:after="0"/>
              <w:rPr>
                <w:rFonts w:ascii="Arial" w:hAnsi="Arial" w:cs="Arial"/>
                <w:sz w:val="20"/>
              </w:rPr>
            </w:pPr>
          </w:p>
        </w:tc>
      </w:tr>
      <w:tr w:rsidR="00CF7B98" w:rsidRPr="00BE4C05" w14:paraId="16AF819C" w14:textId="77777777" w:rsidTr="00FF70FE">
        <w:tc>
          <w:tcPr>
            <w:tcW w:w="8414" w:type="dxa"/>
            <w:shd w:val="clear" w:color="auto" w:fill="auto"/>
          </w:tcPr>
          <w:p w14:paraId="60EA46EB" w14:textId="77777777" w:rsidR="00CF7B98" w:rsidRPr="00BE4C05" w:rsidRDefault="00CF7B98" w:rsidP="00FF70FE">
            <w:pPr>
              <w:spacing w:after="0"/>
              <w:rPr>
                <w:rFonts w:ascii="Arial" w:hAnsi="Arial" w:cs="Arial"/>
                <w:b/>
                <w:sz w:val="20"/>
              </w:rPr>
            </w:pPr>
            <w:bookmarkStart w:id="4" w:name="_Hlk64920241"/>
            <w:r w:rsidRPr="00BE4C05">
              <w:rPr>
                <w:rFonts w:ascii="Arial" w:hAnsi="Arial" w:cs="Arial"/>
                <w:b/>
                <w:sz w:val="20"/>
              </w:rPr>
              <w:t>5.</w:t>
            </w:r>
            <w:r w:rsidRPr="00BE4C05">
              <w:rPr>
                <w:rFonts w:ascii="Arial" w:hAnsi="Arial" w:cs="Arial"/>
                <w:b/>
                <w:sz w:val="20"/>
              </w:rPr>
              <w:tab/>
              <w:t>Applicable quality requirements and CQUIN goals</w:t>
            </w:r>
          </w:p>
        </w:tc>
      </w:tr>
      <w:tr w:rsidR="00CF7B98" w:rsidRPr="00BE4C05" w14:paraId="018CE474" w14:textId="77777777" w:rsidTr="00FF70FE">
        <w:tc>
          <w:tcPr>
            <w:tcW w:w="8414" w:type="dxa"/>
            <w:shd w:val="clear" w:color="auto" w:fill="auto"/>
          </w:tcPr>
          <w:p w14:paraId="660C0826" w14:textId="77777777" w:rsidR="00CF7B98" w:rsidRPr="00BE4C05" w:rsidRDefault="00CF7B98" w:rsidP="00FF70FE">
            <w:pPr>
              <w:spacing w:after="0"/>
              <w:rPr>
                <w:rFonts w:ascii="Arial" w:hAnsi="Arial" w:cs="Arial"/>
                <w:sz w:val="20"/>
              </w:rPr>
            </w:pPr>
          </w:p>
          <w:p w14:paraId="76A188C5" w14:textId="77777777" w:rsidR="00CF7B98" w:rsidRPr="00BE4C05" w:rsidRDefault="00CF7B98" w:rsidP="007551BF">
            <w:pPr>
              <w:pStyle w:val="ListParagraph"/>
              <w:numPr>
                <w:ilvl w:val="1"/>
                <w:numId w:val="17"/>
              </w:numPr>
              <w:ind w:left="743" w:hanging="743"/>
              <w:rPr>
                <w:rFonts w:ascii="Arial" w:hAnsi="Arial" w:cs="Arial"/>
                <w:b/>
                <w:sz w:val="20"/>
                <w:szCs w:val="20"/>
              </w:rPr>
            </w:pPr>
            <w:r w:rsidRPr="00BE4C05">
              <w:rPr>
                <w:rFonts w:ascii="Arial" w:hAnsi="Arial" w:cs="Arial"/>
                <w:b/>
                <w:sz w:val="20"/>
                <w:szCs w:val="20"/>
              </w:rPr>
              <w:t>Applicable Quality Requirements (See Schedule 4A-C)</w:t>
            </w:r>
          </w:p>
          <w:p w14:paraId="2E08EE25" w14:textId="77777777" w:rsidR="00CF7B98" w:rsidRPr="00BE4C05" w:rsidRDefault="00CF7B98" w:rsidP="00FF70FE">
            <w:pPr>
              <w:pStyle w:val="ListParagraph"/>
              <w:ind w:left="743"/>
              <w:rPr>
                <w:rFonts w:ascii="Arial" w:hAnsi="Arial" w:cs="Arial"/>
                <w:b/>
                <w:sz w:val="20"/>
                <w:szCs w:val="20"/>
              </w:rPr>
            </w:pPr>
          </w:p>
          <w:p w14:paraId="27A4CF98" w14:textId="77777777" w:rsidR="00CF7B98" w:rsidRPr="00BE4C05" w:rsidRDefault="00CF7B98" w:rsidP="007551BF">
            <w:pPr>
              <w:pStyle w:val="ListParagraph"/>
              <w:numPr>
                <w:ilvl w:val="1"/>
                <w:numId w:val="17"/>
              </w:numPr>
              <w:ind w:left="743" w:hanging="743"/>
              <w:rPr>
                <w:rFonts w:ascii="Arial" w:hAnsi="Arial" w:cs="Arial"/>
                <w:b/>
                <w:sz w:val="20"/>
                <w:szCs w:val="20"/>
              </w:rPr>
            </w:pPr>
            <w:r w:rsidRPr="00BE4C05">
              <w:rPr>
                <w:rFonts w:ascii="Arial" w:hAnsi="Arial" w:cs="Arial"/>
                <w:b/>
                <w:sz w:val="20"/>
                <w:szCs w:val="20"/>
              </w:rPr>
              <w:t>Applicable CQUIN goals (See Schedule 3E)</w:t>
            </w:r>
          </w:p>
          <w:p w14:paraId="78BCBF00" w14:textId="77777777" w:rsidR="00CF7B98" w:rsidRPr="00BE4C05" w:rsidRDefault="00CF7B98" w:rsidP="00FF70FE">
            <w:pPr>
              <w:spacing w:after="0"/>
              <w:rPr>
                <w:rFonts w:ascii="Arial" w:hAnsi="Arial" w:cs="Arial"/>
                <w:sz w:val="20"/>
              </w:rPr>
            </w:pPr>
          </w:p>
          <w:p w14:paraId="7BF85975" w14:textId="77777777" w:rsidR="00CF7B98" w:rsidRPr="00BE4C05" w:rsidRDefault="00CF7B98" w:rsidP="00FF70FE">
            <w:pPr>
              <w:spacing w:after="0"/>
              <w:rPr>
                <w:rFonts w:ascii="Arial" w:hAnsi="Arial" w:cs="Arial"/>
                <w:sz w:val="20"/>
              </w:rPr>
            </w:pPr>
          </w:p>
        </w:tc>
      </w:tr>
      <w:bookmarkEnd w:id="4"/>
      <w:tr w:rsidR="00CF7B98" w:rsidRPr="00BE4C05" w14:paraId="44EC5B05" w14:textId="77777777" w:rsidTr="00FF70FE">
        <w:tc>
          <w:tcPr>
            <w:tcW w:w="8414" w:type="dxa"/>
            <w:shd w:val="clear" w:color="auto" w:fill="auto"/>
          </w:tcPr>
          <w:p w14:paraId="1524EEDD" w14:textId="77777777" w:rsidR="00CF7B98" w:rsidRPr="00BE4C05" w:rsidRDefault="00CF7B98" w:rsidP="00FF70FE">
            <w:pPr>
              <w:spacing w:after="0"/>
              <w:rPr>
                <w:rFonts w:ascii="Arial" w:hAnsi="Arial" w:cs="Arial"/>
                <w:b/>
                <w:sz w:val="20"/>
              </w:rPr>
            </w:pPr>
            <w:r w:rsidRPr="00BE4C05">
              <w:rPr>
                <w:rFonts w:ascii="Arial" w:hAnsi="Arial" w:cs="Arial"/>
                <w:b/>
                <w:sz w:val="20"/>
              </w:rPr>
              <w:t>6.</w:t>
            </w:r>
            <w:r w:rsidRPr="00BE4C05">
              <w:rPr>
                <w:rFonts w:ascii="Arial" w:hAnsi="Arial" w:cs="Arial"/>
                <w:b/>
                <w:sz w:val="20"/>
              </w:rPr>
              <w:tab/>
              <w:t>Location of Provider Premises</w:t>
            </w:r>
          </w:p>
        </w:tc>
      </w:tr>
      <w:tr w:rsidR="00CF7B98" w:rsidRPr="00BE4C05" w14:paraId="319BD786" w14:textId="77777777" w:rsidTr="00FF70FE">
        <w:tc>
          <w:tcPr>
            <w:tcW w:w="8414" w:type="dxa"/>
            <w:shd w:val="clear" w:color="auto" w:fill="auto"/>
          </w:tcPr>
          <w:p w14:paraId="3A6C9FC7" w14:textId="77777777" w:rsidR="00CF7B98" w:rsidRPr="00BE4C05" w:rsidRDefault="00CF7B98" w:rsidP="00FF70FE">
            <w:pPr>
              <w:spacing w:after="0"/>
              <w:rPr>
                <w:rFonts w:ascii="Arial" w:hAnsi="Arial" w:cs="Arial"/>
                <w:sz w:val="20"/>
              </w:rPr>
            </w:pPr>
          </w:p>
          <w:p w14:paraId="743A6610" w14:textId="77777777" w:rsidR="00CF7B98" w:rsidRPr="00BE4C05" w:rsidRDefault="00CF7B98" w:rsidP="00FF70FE">
            <w:pPr>
              <w:spacing w:after="0"/>
              <w:rPr>
                <w:rFonts w:ascii="Arial" w:hAnsi="Arial" w:cs="Arial"/>
                <w:b/>
                <w:sz w:val="20"/>
              </w:rPr>
            </w:pPr>
            <w:r w:rsidRPr="00BE4C05">
              <w:rPr>
                <w:rFonts w:ascii="Arial" w:hAnsi="Arial" w:cs="Arial"/>
                <w:b/>
                <w:sz w:val="20"/>
              </w:rPr>
              <w:t>6.1</w:t>
            </w:r>
            <w:r w:rsidRPr="00BE4C05">
              <w:rPr>
                <w:rFonts w:ascii="Arial" w:hAnsi="Arial" w:cs="Arial"/>
                <w:sz w:val="20"/>
              </w:rPr>
              <w:tab/>
            </w:r>
            <w:r w:rsidRPr="00BE4C05">
              <w:rPr>
                <w:rFonts w:ascii="Arial" w:hAnsi="Arial" w:cs="Arial"/>
                <w:b/>
                <w:sz w:val="20"/>
              </w:rPr>
              <w:t>The Provider’s Premises are located at:</w:t>
            </w:r>
          </w:p>
          <w:p w14:paraId="7F6A6CAB" w14:textId="250FF5F7"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Equitable provision should be provided within each locality across Nottingham North and East </w:t>
            </w:r>
            <w:r w:rsidR="00BB542F">
              <w:rPr>
                <w:rFonts w:ascii="Arial" w:eastAsia="Times New Roman" w:hAnsi="Arial" w:cs="Arial"/>
                <w:sz w:val="20"/>
              </w:rPr>
              <w:t xml:space="preserve">and </w:t>
            </w:r>
            <w:r w:rsidRPr="00BE4C05">
              <w:rPr>
                <w:rFonts w:ascii="Arial" w:eastAsia="Times New Roman" w:hAnsi="Arial" w:cs="Arial"/>
                <w:sz w:val="20"/>
              </w:rPr>
              <w:t>Nottingham West.</w:t>
            </w:r>
          </w:p>
          <w:p w14:paraId="30D7DBE0" w14:textId="77777777" w:rsidR="00CF7B98" w:rsidRPr="00BE4C05" w:rsidRDefault="00CF7B98" w:rsidP="00FF70FE">
            <w:pPr>
              <w:spacing w:after="0"/>
              <w:rPr>
                <w:rFonts w:ascii="Arial" w:eastAsia="Times New Roman" w:hAnsi="Arial" w:cs="Arial"/>
                <w:sz w:val="20"/>
              </w:rPr>
            </w:pPr>
          </w:p>
          <w:p w14:paraId="641AEEAC" w14:textId="7A84B27F" w:rsidR="00CF7B98" w:rsidRPr="00BE4C05" w:rsidRDefault="00CF7B98" w:rsidP="00FF70FE">
            <w:pPr>
              <w:spacing w:after="0"/>
              <w:rPr>
                <w:rFonts w:ascii="Arial" w:eastAsia="Times New Roman" w:hAnsi="Arial" w:cs="Arial"/>
                <w:sz w:val="20"/>
              </w:rPr>
            </w:pPr>
            <w:r w:rsidRPr="00BE4C05">
              <w:rPr>
                <w:rFonts w:ascii="Arial" w:eastAsia="Times New Roman" w:hAnsi="Arial" w:cs="Arial"/>
                <w:sz w:val="20"/>
              </w:rPr>
              <w:t xml:space="preserve">Prices submitted are also required to be inclusive of estate costs.  Within the tender offer, bidders are anticipated to use the existing NHS premises currently utilised being Park House Health &amp; Social Care Centre, Stapleford Care Centre and Hucknall Orthopaedic Centre.    Where this is the case, a pass through cost from commissioners will be made available to fund the estate requirements in line with existing usage.  Where providers are not willing, or able, to use existing NHS estate, the cost of that estate must be covered in their bid price.  Commissioners will need a clear understanding of why it is not possible to use existing NHS estate, particularly where services are currently delivered from NHS locations.  Bidders must ensure that a range of community estates are used across </w:t>
            </w:r>
            <w:r w:rsidR="00BB542F">
              <w:rPr>
                <w:rFonts w:ascii="Arial" w:eastAsia="Times New Roman" w:hAnsi="Arial" w:cs="Arial"/>
                <w:sz w:val="20"/>
              </w:rPr>
              <w:t>ICB</w:t>
            </w:r>
            <w:r w:rsidRPr="00BE4C05">
              <w:rPr>
                <w:rFonts w:ascii="Arial" w:eastAsia="Times New Roman" w:hAnsi="Arial" w:cs="Arial"/>
                <w:sz w:val="20"/>
              </w:rPr>
              <w:t xml:space="preserve"> areas covered in this service to deliver all parts of the service specification.  Please note for this service there will be a mixture of both NHS estate, and for the bidder to source its own estate.</w:t>
            </w:r>
          </w:p>
          <w:p w14:paraId="78433591" w14:textId="77777777" w:rsidR="00CF7B98" w:rsidRPr="00BE4C05" w:rsidRDefault="00CF7B98" w:rsidP="00FF70FE">
            <w:pPr>
              <w:spacing w:after="0"/>
              <w:rPr>
                <w:rFonts w:ascii="Arial" w:hAnsi="Arial" w:cs="Arial"/>
                <w:sz w:val="20"/>
              </w:rPr>
            </w:pPr>
          </w:p>
          <w:p w14:paraId="456AE9E5" w14:textId="77777777" w:rsidR="00CF7B98" w:rsidRPr="00BE4C05" w:rsidRDefault="00CF7B98" w:rsidP="00FF70FE">
            <w:pPr>
              <w:spacing w:after="0"/>
              <w:rPr>
                <w:rFonts w:ascii="Arial" w:hAnsi="Arial" w:cs="Arial"/>
                <w:sz w:val="20"/>
              </w:rPr>
            </w:pPr>
          </w:p>
        </w:tc>
      </w:tr>
    </w:tbl>
    <w:p w14:paraId="1F4DAC67" w14:textId="482B2FF6" w:rsidR="002E7E92" w:rsidRDefault="002E7E92" w:rsidP="005545B0"/>
    <w:sectPr w:rsidR="002E7E92" w:rsidSect="005545B0">
      <w:footerReference w:type="default" r:id="rId12"/>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DB89" w14:textId="77777777" w:rsidR="00131714" w:rsidRDefault="00131714" w:rsidP="00674BEC">
      <w:pPr>
        <w:spacing w:after="0"/>
      </w:pPr>
      <w:r>
        <w:separator/>
      </w:r>
    </w:p>
  </w:endnote>
  <w:endnote w:type="continuationSeparator" w:id="0">
    <w:p w14:paraId="510051BC" w14:textId="77777777" w:rsidR="00131714" w:rsidRDefault="00131714" w:rsidP="00674BEC">
      <w:pPr>
        <w:spacing w:after="0"/>
      </w:pPr>
      <w:r>
        <w:continuationSeparator/>
      </w:r>
    </w:p>
  </w:endnote>
  <w:endnote w:type="continuationNotice" w:id="1">
    <w:p w14:paraId="52998684" w14:textId="77777777" w:rsidR="00131714" w:rsidRDefault="001317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D5BF" w14:textId="36D7749E" w:rsidR="002B6842" w:rsidRPr="00520F65" w:rsidRDefault="002B6842" w:rsidP="008531C6">
    <w:pPr>
      <w:pStyle w:val="Head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35E" w14:textId="77777777" w:rsidR="00131714" w:rsidRDefault="00131714" w:rsidP="00674BEC">
      <w:pPr>
        <w:spacing w:after="0"/>
      </w:pPr>
      <w:r>
        <w:separator/>
      </w:r>
    </w:p>
  </w:footnote>
  <w:footnote w:type="continuationSeparator" w:id="0">
    <w:p w14:paraId="7409277D" w14:textId="77777777" w:rsidR="00131714" w:rsidRDefault="00131714" w:rsidP="00674BEC">
      <w:pPr>
        <w:spacing w:after="0"/>
      </w:pPr>
      <w:r>
        <w:continuationSeparator/>
      </w:r>
    </w:p>
  </w:footnote>
  <w:footnote w:type="continuationNotice" w:id="1">
    <w:p w14:paraId="221FDE82" w14:textId="77777777" w:rsidR="00131714" w:rsidRDefault="001317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65458"/>
    <w:multiLevelType w:val="hybridMultilevel"/>
    <w:tmpl w:val="9006E280"/>
    <w:lvl w:ilvl="0" w:tplc="08090015">
      <w:start w:val="1"/>
      <w:numFmt w:val="upperLetter"/>
      <w:lvlText w:val="%1."/>
      <w:lvlJc w:val="left"/>
      <w:pPr>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8644B"/>
    <w:multiLevelType w:val="hybridMultilevel"/>
    <w:tmpl w:val="C40A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5C72"/>
    <w:multiLevelType w:val="hybridMultilevel"/>
    <w:tmpl w:val="101C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9685E"/>
    <w:multiLevelType w:val="hybridMultilevel"/>
    <w:tmpl w:val="4D062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75066"/>
    <w:multiLevelType w:val="hybridMultilevel"/>
    <w:tmpl w:val="41B6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50471D"/>
    <w:multiLevelType w:val="multilevel"/>
    <w:tmpl w:val="352640C4"/>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3F6DFF"/>
    <w:multiLevelType w:val="hybridMultilevel"/>
    <w:tmpl w:val="5A06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C53F7"/>
    <w:multiLevelType w:val="hybridMultilevel"/>
    <w:tmpl w:val="EA4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23728"/>
    <w:multiLevelType w:val="hybridMultilevel"/>
    <w:tmpl w:val="6C6A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2450B"/>
    <w:multiLevelType w:val="hybridMultilevel"/>
    <w:tmpl w:val="981AA388"/>
    <w:lvl w:ilvl="0" w:tplc="1D8E5AA8">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6D690A"/>
    <w:multiLevelType w:val="hybridMultilevel"/>
    <w:tmpl w:val="0A18777E"/>
    <w:lvl w:ilvl="0" w:tplc="5D46CED0">
      <w:start w:val="2"/>
      <w:numFmt w:val="decimal"/>
      <w:lvlText w:val="%1."/>
      <w:lvlJc w:val="left"/>
      <w:pPr>
        <w:ind w:left="644"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25AC1"/>
    <w:multiLevelType w:val="hybridMultilevel"/>
    <w:tmpl w:val="B592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13C4F"/>
    <w:multiLevelType w:val="multilevel"/>
    <w:tmpl w:val="14207D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B4EC9"/>
    <w:multiLevelType w:val="hybridMultilevel"/>
    <w:tmpl w:val="8108B8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34604"/>
    <w:multiLevelType w:val="hybridMultilevel"/>
    <w:tmpl w:val="369C5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4240023">
    <w:abstractNumId w:val="22"/>
  </w:num>
  <w:num w:numId="2" w16cid:durableId="362021937">
    <w:abstractNumId w:val="0"/>
  </w:num>
  <w:num w:numId="3" w16cid:durableId="1731416569">
    <w:abstractNumId w:val="14"/>
  </w:num>
  <w:num w:numId="4" w16cid:durableId="1004629827">
    <w:abstractNumId w:val="24"/>
  </w:num>
  <w:num w:numId="5" w16cid:durableId="173034845">
    <w:abstractNumId w:val="2"/>
  </w:num>
  <w:num w:numId="6" w16cid:durableId="23942537">
    <w:abstractNumId w:val="1"/>
  </w:num>
  <w:num w:numId="7" w16cid:durableId="795022748">
    <w:abstractNumId w:val="10"/>
  </w:num>
  <w:num w:numId="8" w16cid:durableId="1455372047">
    <w:abstractNumId w:val="7"/>
  </w:num>
  <w:num w:numId="9" w16cid:durableId="23869509">
    <w:abstractNumId w:val="15"/>
  </w:num>
  <w:num w:numId="10" w16cid:durableId="808011063">
    <w:abstractNumId w:val="19"/>
  </w:num>
  <w:num w:numId="11" w16cid:durableId="987636688">
    <w:abstractNumId w:val="20"/>
  </w:num>
  <w:num w:numId="12" w16cid:durableId="496457059">
    <w:abstractNumId w:val="18"/>
  </w:num>
  <w:num w:numId="13" w16cid:durableId="897975307">
    <w:abstractNumId w:val="8"/>
  </w:num>
  <w:num w:numId="14" w16cid:durableId="1340700358">
    <w:abstractNumId w:val="9"/>
    <w:lvlOverride w:ilvl="0">
      <w:lvl w:ilvl="0">
        <w:start w:val="1"/>
        <w:numFmt w:val="decimal"/>
        <w:lvlText w:val="%1"/>
        <w:lvlJc w:val="left"/>
        <w:pPr>
          <w:ind w:left="851" w:hanging="851"/>
        </w:pPr>
        <w:rPr>
          <w:rFonts w:hint="default"/>
          <w:color w:val="C0504D" w:themeColor="accent2"/>
          <w:sz w:val="28"/>
          <w:szCs w:val="28"/>
        </w:rPr>
      </w:lvl>
    </w:lvlOverride>
    <w:lvlOverride w:ilvl="1">
      <w:lvl w:ilvl="1">
        <w:start w:val="1"/>
        <w:numFmt w:val="decimal"/>
        <w:pStyle w:val="TGparagraphs"/>
        <w:lvlText w:val="%1.%2"/>
        <w:lvlJc w:val="left"/>
        <w:pPr>
          <w:ind w:left="851"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1506943603">
    <w:abstractNumId w:val="23"/>
  </w:num>
  <w:num w:numId="16" w16cid:durableId="879509186">
    <w:abstractNumId w:val="11"/>
  </w:num>
  <w:num w:numId="17" w16cid:durableId="369305080">
    <w:abstractNumId w:val="25"/>
  </w:num>
  <w:num w:numId="18" w16cid:durableId="1410272286">
    <w:abstractNumId w:val="21"/>
  </w:num>
  <w:num w:numId="19" w16cid:durableId="2028021619">
    <w:abstractNumId w:val="16"/>
  </w:num>
  <w:num w:numId="20" w16cid:durableId="738988153">
    <w:abstractNumId w:val="12"/>
  </w:num>
  <w:num w:numId="21" w16cid:durableId="1927953078">
    <w:abstractNumId w:val="6"/>
  </w:num>
  <w:num w:numId="22" w16cid:durableId="1868594780">
    <w:abstractNumId w:val="3"/>
  </w:num>
  <w:num w:numId="23" w16cid:durableId="244263275">
    <w:abstractNumId w:val="17"/>
  </w:num>
  <w:num w:numId="24" w16cid:durableId="991641708">
    <w:abstractNumId w:val="27"/>
  </w:num>
  <w:num w:numId="25" w16cid:durableId="1537347421">
    <w:abstractNumId w:val="26"/>
  </w:num>
  <w:num w:numId="26" w16cid:durableId="1342777015">
    <w:abstractNumId w:val="5"/>
  </w:num>
  <w:num w:numId="27" w16cid:durableId="111827626">
    <w:abstractNumId w:val="13"/>
  </w:num>
  <w:num w:numId="28" w16cid:durableId="80500505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93D"/>
    <w:rsid w:val="00003021"/>
    <w:rsid w:val="00003934"/>
    <w:rsid w:val="000058A3"/>
    <w:rsid w:val="0000597D"/>
    <w:rsid w:val="00006052"/>
    <w:rsid w:val="00006687"/>
    <w:rsid w:val="000068FA"/>
    <w:rsid w:val="00010053"/>
    <w:rsid w:val="00010723"/>
    <w:rsid w:val="00011797"/>
    <w:rsid w:val="00012203"/>
    <w:rsid w:val="00012257"/>
    <w:rsid w:val="000135B0"/>
    <w:rsid w:val="000138F0"/>
    <w:rsid w:val="0001417B"/>
    <w:rsid w:val="00014C56"/>
    <w:rsid w:val="00015292"/>
    <w:rsid w:val="000153C5"/>
    <w:rsid w:val="00015432"/>
    <w:rsid w:val="00015676"/>
    <w:rsid w:val="00017428"/>
    <w:rsid w:val="00017F12"/>
    <w:rsid w:val="0002079D"/>
    <w:rsid w:val="00021F57"/>
    <w:rsid w:val="000220A9"/>
    <w:rsid w:val="00022B84"/>
    <w:rsid w:val="00023821"/>
    <w:rsid w:val="000248B2"/>
    <w:rsid w:val="00025933"/>
    <w:rsid w:val="00025E91"/>
    <w:rsid w:val="00026753"/>
    <w:rsid w:val="0002762E"/>
    <w:rsid w:val="00031378"/>
    <w:rsid w:val="000315EA"/>
    <w:rsid w:val="000320CE"/>
    <w:rsid w:val="00034588"/>
    <w:rsid w:val="000352D5"/>
    <w:rsid w:val="00036424"/>
    <w:rsid w:val="00036527"/>
    <w:rsid w:val="00036F0B"/>
    <w:rsid w:val="00037397"/>
    <w:rsid w:val="0003778F"/>
    <w:rsid w:val="000408F3"/>
    <w:rsid w:val="00041760"/>
    <w:rsid w:val="00041AFE"/>
    <w:rsid w:val="00041C53"/>
    <w:rsid w:val="0004207E"/>
    <w:rsid w:val="00042282"/>
    <w:rsid w:val="00042B2E"/>
    <w:rsid w:val="00043104"/>
    <w:rsid w:val="0004407B"/>
    <w:rsid w:val="000440A0"/>
    <w:rsid w:val="000445D8"/>
    <w:rsid w:val="0004463B"/>
    <w:rsid w:val="00044A9C"/>
    <w:rsid w:val="00044B01"/>
    <w:rsid w:val="00045028"/>
    <w:rsid w:val="00045AF4"/>
    <w:rsid w:val="00046225"/>
    <w:rsid w:val="00046965"/>
    <w:rsid w:val="0004727F"/>
    <w:rsid w:val="00047C4C"/>
    <w:rsid w:val="0005221F"/>
    <w:rsid w:val="00052BD4"/>
    <w:rsid w:val="000552B7"/>
    <w:rsid w:val="00055CD8"/>
    <w:rsid w:val="00056F52"/>
    <w:rsid w:val="000576E3"/>
    <w:rsid w:val="00060E3E"/>
    <w:rsid w:val="0006130A"/>
    <w:rsid w:val="0006155A"/>
    <w:rsid w:val="00062FF0"/>
    <w:rsid w:val="000638F0"/>
    <w:rsid w:val="000644B9"/>
    <w:rsid w:val="00064830"/>
    <w:rsid w:val="000659E9"/>
    <w:rsid w:val="000663BE"/>
    <w:rsid w:val="000663E5"/>
    <w:rsid w:val="000664E3"/>
    <w:rsid w:val="0007012A"/>
    <w:rsid w:val="000702E1"/>
    <w:rsid w:val="000702E7"/>
    <w:rsid w:val="000705C1"/>
    <w:rsid w:val="00070CD3"/>
    <w:rsid w:val="00071082"/>
    <w:rsid w:val="00072CFA"/>
    <w:rsid w:val="00073F09"/>
    <w:rsid w:val="000748CB"/>
    <w:rsid w:val="00074C88"/>
    <w:rsid w:val="0007671A"/>
    <w:rsid w:val="00076944"/>
    <w:rsid w:val="0007751D"/>
    <w:rsid w:val="000815FB"/>
    <w:rsid w:val="00082293"/>
    <w:rsid w:val="00082C8B"/>
    <w:rsid w:val="00084259"/>
    <w:rsid w:val="00085D63"/>
    <w:rsid w:val="00086737"/>
    <w:rsid w:val="00086970"/>
    <w:rsid w:val="00090E6D"/>
    <w:rsid w:val="000929B6"/>
    <w:rsid w:val="00092DBB"/>
    <w:rsid w:val="00093674"/>
    <w:rsid w:val="000937DD"/>
    <w:rsid w:val="000939B9"/>
    <w:rsid w:val="00094231"/>
    <w:rsid w:val="00096109"/>
    <w:rsid w:val="000961D3"/>
    <w:rsid w:val="0009657F"/>
    <w:rsid w:val="000A006C"/>
    <w:rsid w:val="000A045E"/>
    <w:rsid w:val="000A2D1C"/>
    <w:rsid w:val="000A4638"/>
    <w:rsid w:val="000A5766"/>
    <w:rsid w:val="000A5AB9"/>
    <w:rsid w:val="000A5DB1"/>
    <w:rsid w:val="000A72CF"/>
    <w:rsid w:val="000B0829"/>
    <w:rsid w:val="000B2568"/>
    <w:rsid w:val="000B2DE4"/>
    <w:rsid w:val="000B328E"/>
    <w:rsid w:val="000B4136"/>
    <w:rsid w:val="000B4ADD"/>
    <w:rsid w:val="000B4B50"/>
    <w:rsid w:val="000B66F1"/>
    <w:rsid w:val="000B6AF5"/>
    <w:rsid w:val="000B7A9F"/>
    <w:rsid w:val="000C0855"/>
    <w:rsid w:val="000C25BE"/>
    <w:rsid w:val="000C3423"/>
    <w:rsid w:val="000C5312"/>
    <w:rsid w:val="000C557B"/>
    <w:rsid w:val="000C69E3"/>
    <w:rsid w:val="000C6A73"/>
    <w:rsid w:val="000C7216"/>
    <w:rsid w:val="000D0174"/>
    <w:rsid w:val="000D023A"/>
    <w:rsid w:val="000D0976"/>
    <w:rsid w:val="000D0BB4"/>
    <w:rsid w:val="000D0D81"/>
    <w:rsid w:val="000D10A9"/>
    <w:rsid w:val="000D14B2"/>
    <w:rsid w:val="000D1764"/>
    <w:rsid w:val="000D2E92"/>
    <w:rsid w:val="000D31EE"/>
    <w:rsid w:val="000D54F2"/>
    <w:rsid w:val="000D597E"/>
    <w:rsid w:val="000E1364"/>
    <w:rsid w:val="000E1F02"/>
    <w:rsid w:val="000E3586"/>
    <w:rsid w:val="000E5E4F"/>
    <w:rsid w:val="000E5FE4"/>
    <w:rsid w:val="000E7285"/>
    <w:rsid w:val="000E791A"/>
    <w:rsid w:val="000E7DF0"/>
    <w:rsid w:val="000E7E65"/>
    <w:rsid w:val="000F0AD4"/>
    <w:rsid w:val="000F1928"/>
    <w:rsid w:val="000F267F"/>
    <w:rsid w:val="000F2BD6"/>
    <w:rsid w:val="000F3431"/>
    <w:rsid w:val="000F3A22"/>
    <w:rsid w:val="000F3BE3"/>
    <w:rsid w:val="000F45EF"/>
    <w:rsid w:val="000F4773"/>
    <w:rsid w:val="000F4A2E"/>
    <w:rsid w:val="000F62E1"/>
    <w:rsid w:val="000F719F"/>
    <w:rsid w:val="000F73AB"/>
    <w:rsid w:val="000F7D3C"/>
    <w:rsid w:val="0010025C"/>
    <w:rsid w:val="001008C5"/>
    <w:rsid w:val="0010251E"/>
    <w:rsid w:val="00102633"/>
    <w:rsid w:val="001027C6"/>
    <w:rsid w:val="00102A2F"/>
    <w:rsid w:val="00104035"/>
    <w:rsid w:val="001041BD"/>
    <w:rsid w:val="00104240"/>
    <w:rsid w:val="001066AB"/>
    <w:rsid w:val="00106879"/>
    <w:rsid w:val="001104AB"/>
    <w:rsid w:val="00111475"/>
    <w:rsid w:val="00111A89"/>
    <w:rsid w:val="00111B38"/>
    <w:rsid w:val="0011209E"/>
    <w:rsid w:val="001124ED"/>
    <w:rsid w:val="00112616"/>
    <w:rsid w:val="00114385"/>
    <w:rsid w:val="001146EE"/>
    <w:rsid w:val="0011569A"/>
    <w:rsid w:val="00115BB6"/>
    <w:rsid w:val="001162EB"/>
    <w:rsid w:val="001163E3"/>
    <w:rsid w:val="00116415"/>
    <w:rsid w:val="00116B31"/>
    <w:rsid w:val="00116FB6"/>
    <w:rsid w:val="001171CF"/>
    <w:rsid w:val="00117501"/>
    <w:rsid w:val="00117656"/>
    <w:rsid w:val="00117F64"/>
    <w:rsid w:val="001233FA"/>
    <w:rsid w:val="001238F9"/>
    <w:rsid w:val="00123FD9"/>
    <w:rsid w:val="00124089"/>
    <w:rsid w:val="00124879"/>
    <w:rsid w:val="00126839"/>
    <w:rsid w:val="00127711"/>
    <w:rsid w:val="00131714"/>
    <w:rsid w:val="001335A7"/>
    <w:rsid w:val="001337F5"/>
    <w:rsid w:val="001345D6"/>
    <w:rsid w:val="00134C16"/>
    <w:rsid w:val="00134DE7"/>
    <w:rsid w:val="001350BB"/>
    <w:rsid w:val="00136D7F"/>
    <w:rsid w:val="001370B9"/>
    <w:rsid w:val="00137789"/>
    <w:rsid w:val="00140015"/>
    <w:rsid w:val="001422A8"/>
    <w:rsid w:val="00142DD7"/>
    <w:rsid w:val="0014314D"/>
    <w:rsid w:val="00143AC7"/>
    <w:rsid w:val="00144BE8"/>
    <w:rsid w:val="0014608B"/>
    <w:rsid w:val="00146548"/>
    <w:rsid w:val="00146AA5"/>
    <w:rsid w:val="00147CA2"/>
    <w:rsid w:val="00150F92"/>
    <w:rsid w:val="00151835"/>
    <w:rsid w:val="001519B4"/>
    <w:rsid w:val="00151FCD"/>
    <w:rsid w:val="00153EF4"/>
    <w:rsid w:val="00156E33"/>
    <w:rsid w:val="00157120"/>
    <w:rsid w:val="00157693"/>
    <w:rsid w:val="00157886"/>
    <w:rsid w:val="00161676"/>
    <w:rsid w:val="00161EF6"/>
    <w:rsid w:val="0016211A"/>
    <w:rsid w:val="001633C6"/>
    <w:rsid w:val="00163A85"/>
    <w:rsid w:val="0016400C"/>
    <w:rsid w:val="00164137"/>
    <w:rsid w:val="00164D08"/>
    <w:rsid w:val="00164E47"/>
    <w:rsid w:val="00165D77"/>
    <w:rsid w:val="00165EEA"/>
    <w:rsid w:val="00166E9C"/>
    <w:rsid w:val="0017017B"/>
    <w:rsid w:val="001709FC"/>
    <w:rsid w:val="00171C9F"/>
    <w:rsid w:val="00172F1A"/>
    <w:rsid w:val="00173D60"/>
    <w:rsid w:val="001740FC"/>
    <w:rsid w:val="0017446C"/>
    <w:rsid w:val="001754B0"/>
    <w:rsid w:val="00175818"/>
    <w:rsid w:val="00177C45"/>
    <w:rsid w:val="00177FFB"/>
    <w:rsid w:val="00180202"/>
    <w:rsid w:val="00180224"/>
    <w:rsid w:val="001810B5"/>
    <w:rsid w:val="001812CB"/>
    <w:rsid w:val="00182B5E"/>
    <w:rsid w:val="00183369"/>
    <w:rsid w:val="001837B1"/>
    <w:rsid w:val="0018566B"/>
    <w:rsid w:val="00185F83"/>
    <w:rsid w:val="00187EA3"/>
    <w:rsid w:val="00190934"/>
    <w:rsid w:val="00191115"/>
    <w:rsid w:val="00191170"/>
    <w:rsid w:val="00191FF5"/>
    <w:rsid w:val="001923B6"/>
    <w:rsid w:val="00193A70"/>
    <w:rsid w:val="0019400C"/>
    <w:rsid w:val="00194E19"/>
    <w:rsid w:val="00195267"/>
    <w:rsid w:val="00195CAF"/>
    <w:rsid w:val="00196333"/>
    <w:rsid w:val="00196BB2"/>
    <w:rsid w:val="00196C53"/>
    <w:rsid w:val="00196ED6"/>
    <w:rsid w:val="00197521"/>
    <w:rsid w:val="00197FDC"/>
    <w:rsid w:val="001A020A"/>
    <w:rsid w:val="001A07A1"/>
    <w:rsid w:val="001A1B78"/>
    <w:rsid w:val="001A1FE3"/>
    <w:rsid w:val="001A2493"/>
    <w:rsid w:val="001A2964"/>
    <w:rsid w:val="001A38F5"/>
    <w:rsid w:val="001A4091"/>
    <w:rsid w:val="001A6AC7"/>
    <w:rsid w:val="001A6B1F"/>
    <w:rsid w:val="001A76A9"/>
    <w:rsid w:val="001A7CDF"/>
    <w:rsid w:val="001B0BC4"/>
    <w:rsid w:val="001B234F"/>
    <w:rsid w:val="001B27BC"/>
    <w:rsid w:val="001B33C0"/>
    <w:rsid w:val="001B375C"/>
    <w:rsid w:val="001B3CB1"/>
    <w:rsid w:val="001B4295"/>
    <w:rsid w:val="001B560F"/>
    <w:rsid w:val="001B621F"/>
    <w:rsid w:val="001C00D7"/>
    <w:rsid w:val="001C0629"/>
    <w:rsid w:val="001C0D04"/>
    <w:rsid w:val="001C0F5E"/>
    <w:rsid w:val="001C1E89"/>
    <w:rsid w:val="001C2243"/>
    <w:rsid w:val="001C2C32"/>
    <w:rsid w:val="001C3013"/>
    <w:rsid w:val="001C3555"/>
    <w:rsid w:val="001C3C71"/>
    <w:rsid w:val="001C45D5"/>
    <w:rsid w:val="001C4FED"/>
    <w:rsid w:val="001C51FA"/>
    <w:rsid w:val="001C5BB1"/>
    <w:rsid w:val="001C6935"/>
    <w:rsid w:val="001C7246"/>
    <w:rsid w:val="001C7AE4"/>
    <w:rsid w:val="001D0534"/>
    <w:rsid w:val="001D0702"/>
    <w:rsid w:val="001D0C60"/>
    <w:rsid w:val="001D1A4F"/>
    <w:rsid w:val="001D26F3"/>
    <w:rsid w:val="001D29A9"/>
    <w:rsid w:val="001D2AEB"/>
    <w:rsid w:val="001D34AF"/>
    <w:rsid w:val="001D37BF"/>
    <w:rsid w:val="001D3C16"/>
    <w:rsid w:val="001D3CEE"/>
    <w:rsid w:val="001D3FD6"/>
    <w:rsid w:val="001D5393"/>
    <w:rsid w:val="001D5970"/>
    <w:rsid w:val="001D689B"/>
    <w:rsid w:val="001D6F38"/>
    <w:rsid w:val="001D7FBE"/>
    <w:rsid w:val="001E009A"/>
    <w:rsid w:val="001E08DA"/>
    <w:rsid w:val="001E0CA5"/>
    <w:rsid w:val="001E0E78"/>
    <w:rsid w:val="001E1182"/>
    <w:rsid w:val="001E17CB"/>
    <w:rsid w:val="001E2687"/>
    <w:rsid w:val="001E2922"/>
    <w:rsid w:val="001E297D"/>
    <w:rsid w:val="001E2D9E"/>
    <w:rsid w:val="001E30C6"/>
    <w:rsid w:val="001E39ED"/>
    <w:rsid w:val="001E558D"/>
    <w:rsid w:val="001E5B91"/>
    <w:rsid w:val="001F07CB"/>
    <w:rsid w:val="001F2726"/>
    <w:rsid w:val="001F38EB"/>
    <w:rsid w:val="001F3DB4"/>
    <w:rsid w:val="001F3FCE"/>
    <w:rsid w:val="001F42E2"/>
    <w:rsid w:val="001F44F1"/>
    <w:rsid w:val="001F4FCF"/>
    <w:rsid w:val="001F62D6"/>
    <w:rsid w:val="001F7587"/>
    <w:rsid w:val="0020019E"/>
    <w:rsid w:val="0020280D"/>
    <w:rsid w:val="00203F2A"/>
    <w:rsid w:val="00204629"/>
    <w:rsid w:val="00204766"/>
    <w:rsid w:val="0020483F"/>
    <w:rsid w:val="002049DC"/>
    <w:rsid w:val="002054A8"/>
    <w:rsid w:val="00205F96"/>
    <w:rsid w:val="00207D7D"/>
    <w:rsid w:val="00211C26"/>
    <w:rsid w:val="0021310E"/>
    <w:rsid w:val="002145E0"/>
    <w:rsid w:val="002154E2"/>
    <w:rsid w:val="002159A9"/>
    <w:rsid w:val="002210BB"/>
    <w:rsid w:val="00222CFC"/>
    <w:rsid w:val="00223B07"/>
    <w:rsid w:val="00225107"/>
    <w:rsid w:val="002258B9"/>
    <w:rsid w:val="002269DC"/>
    <w:rsid w:val="002278CF"/>
    <w:rsid w:val="00227B48"/>
    <w:rsid w:val="00227C75"/>
    <w:rsid w:val="00230D91"/>
    <w:rsid w:val="00230E4F"/>
    <w:rsid w:val="002328BC"/>
    <w:rsid w:val="00233197"/>
    <w:rsid w:val="00233327"/>
    <w:rsid w:val="00233471"/>
    <w:rsid w:val="002340DD"/>
    <w:rsid w:val="0023474D"/>
    <w:rsid w:val="00234C1F"/>
    <w:rsid w:val="00235E7F"/>
    <w:rsid w:val="00235FD1"/>
    <w:rsid w:val="002403E6"/>
    <w:rsid w:val="00243E05"/>
    <w:rsid w:val="00244037"/>
    <w:rsid w:val="00247D3C"/>
    <w:rsid w:val="00250567"/>
    <w:rsid w:val="00251453"/>
    <w:rsid w:val="00253604"/>
    <w:rsid w:val="002542FB"/>
    <w:rsid w:val="00255297"/>
    <w:rsid w:val="002569BB"/>
    <w:rsid w:val="00256C7C"/>
    <w:rsid w:val="002578F8"/>
    <w:rsid w:val="002603F0"/>
    <w:rsid w:val="00260B56"/>
    <w:rsid w:val="0026186A"/>
    <w:rsid w:val="00261B1C"/>
    <w:rsid w:val="002624A7"/>
    <w:rsid w:val="00262F0A"/>
    <w:rsid w:val="00263198"/>
    <w:rsid w:val="00263A41"/>
    <w:rsid w:val="00264138"/>
    <w:rsid w:val="00264D2A"/>
    <w:rsid w:val="002651FC"/>
    <w:rsid w:val="00267CF0"/>
    <w:rsid w:val="00270192"/>
    <w:rsid w:val="002708A4"/>
    <w:rsid w:val="00272AB0"/>
    <w:rsid w:val="00272B0F"/>
    <w:rsid w:val="0027317E"/>
    <w:rsid w:val="0027414A"/>
    <w:rsid w:val="00274A65"/>
    <w:rsid w:val="00274E6C"/>
    <w:rsid w:val="00274EC8"/>
    <w:rsid w:val="00275181"/>
    <w:rsid w:val="0027561A"/>
    <w:rsid w:val="00275827"/>
    <w:rsid w:val="00276BA7"/>
    <w:rsid w:val="00276EBA"/>
    <w:rsid w:val="0028052D"/>
    <w:rsid w:val="00282942"/>
    <w:rsid w:val="00282E36"/>
    <w:rsid w:val="00283036"/>
    <w:rsid w:val="0028305E"/>
    <w:rsid w:val="0028317F"/>
    <w:rsid w:val="00286822"/>
    <w:rsid w:val="00291291"/>
    <w:rsid w:val="002915F7"/>
    <w:rsid w:val="00291843"/>
    <w:rsid w:val="00292D5B"/>
    <w:rsid w:val="00293DFC"/>
    <w:rsid w:val="00293E25"/>
    <w:rsid w:val="002945EF"/>
    <w:rsid w:val="00294A49"/>
    <w:rsid w:val="00295BE0"/>
    <w:rsid w:val="00296496"/>
    <w:rsid w:val="0029688E"/>
    <w:rsid w:val="00296A41"/>
    <w:rsid w:val="00297DB3"/>
    <w:rsid w:val="002A2095"/>
    <w:rsid w:val="002A2F6A"/>
    <w:rsid w:val="002A330E"/>
    <w:rsid w:val="002A3B6B"/>
    <w:rsid w:val="002A3B6D"/>
    <w:rsid w:val="002A3D88"/>
    <w:rsid w:val="002A4A11"/>
    <w:rsid w:val="002A4D26"/>
    <w:rsid w:val="002A575B"/>
    <w:rsid w:val="002A6400"/>
    <w:rsid w:val="002A6A86"/>
    <w:rsid w:val="002A73E3"/>
    <w:rsid w:val="002B035E"/>
    <w:rsid w:val="002B0379"/>
    <w:rsid w:val="002B0761"/>
    <w:rsid w:val="002B10DD"/>
    <w:rsid w:val="002B2572"/>
    <w:rsid w:val="002B2787"/>
    <w:rsid w:val="002B28A5"/>
    <w:rsid w:val="002B2AF4"/>
    <w:rsid w:val="002B50F5"/>
    <w:rsid w:val="002B5195"/>
    <w:rsid w:val="002B53C1"/>
    <w:rsid w:val="002B5402"/>
    <w:rsid w:val="002B6188"/>
    <w:rsid w:val="002B6842"/>
    <w:rsid w:val="002B695D"/>
    <w:rsid w:val="002C0C12"/>
    <w:rsid w:val="002C0C83"/>
    <w:rsid w:val="002C24F7"/>
    <w:rsid w:val="002C2705"/>
    <w:rsid w:val="002C37A9"/>
    <w:rsid w:val="002C503C"/>
    <w:rsid w:val="002C5196"/>
    <w:rsid w:val="002C58E5"/>
    <w:rsid w:val="002C6E3F"/>
    <w:rsid w:val="002C6F54"/>
    <w:rsid w:val="002C737E"/>
    <w:rsid w:val="002C7462"/>
    <w:rsid w:val="002C7D95"/>
    <w:rsid w:val="002C7FAA"/>
    <w:rsid w:val="002D117A"/>
    <w:rsid w:val="002D1429"/>
    <w:rsid w:val="002D16EF"/>
    <w:rsid w:val="002D3970"/>
    <w:rsid w:val="002D413E"/>
    <w:rsid w:val="002D435D"/>
    <w:rsid w:val="002D4F6E"/>
    <w:rsid w:val="002D59BD"/>
    <w:rsid w:val="002D5E7D"/>
    <w:rsid w:val="002D67CA"/>
    <w:rsid w:val="002D6BC9"/>
    <w:rsid w:val="002D71A0"/>
    <w:rsid w:val="002E0064"/>
    <w:rsid w:val="002E0809"/>
    <w:rsid w:val="002E081D"/>
    <w:rsid w:val="002E0CA9"/>
    <w:rsid w:val="002E0EB5"/>
    <w:rsid w:val="002E2D1D"/>
    <w:rsid w:val="002E3046"/>
    <w:rsid w:val="002E3119"/>
    <w:rsid w:val="002E378B"/>
    <w:rsid w:val="002E4E20"/>
    <w:rsid w:val="002E585B"/>
    <w:rsid w:val="002E6B9F"/>
    <w:rsid w:val="002E6C2B"/>
    <w:rsid w:val="002E7E92"/>
    <w:rsid w:val="002F00D2"/>
    <w:rsid w:val="002F0B28"/>
    <w:rsid w:val="002F21C5"/>
    <w:rsid w:val="002F2626"/>
    <w:rsid w:val="002F32E8"/>
    <w:rsid w:val="002F32F2"/>
    <w:rsid w:val="002F3731"/>
    <w:rsid w:val="002F6772"/>
    <w:rsid w:val="00300B11"/>
    <w:rsid w:val="00301A96"/>
    <w:rsid w:val="003022B6"/>
    <w:rsid w:val="003025CD"/>
    <w:rsid w:val="00304176"/>
    <w:rsid w:val="00304796"/>
    <w:rsid w:val="00304D4B"/>
    <w:rsid w:val="00305ABB"/>
    <w:rsid w:val="00305D29"/>
    <w:rsid w:val="00305F98"/>
    <w:rsid w:val="0030647C"/>
    <w:rsid w:val="00306A96"/>
    <w:rsid w:val="00306DAE"/>
    <w:rsid w:val="0031023E"/>
    <w:rsid w:val="0031058A"/>
    <w:rsid w:val="003108C2"/>
    <w:rsid w:val="00311E32"/>
    <w:rsid w:val="00312AF6"/>
    <w:rsid w:val="00313365"/>
    <w:rsid w:val="00313697"/>
    <w:rsid w:val="00313897"/>
    <w:rsid w:val="00313E44"/>
    <w:rsid w:val="0031416D"/>
    <w:rsid w:val="003144E5"/>
    <w:rsid w:val="003148E2"/>
    <w:rsid w:val="00315276"/>
    <w:rsid w:val="00315DEF"/>
    <w:rsid w:val="00316176"/>
    <w:rsid w:val="00316808"/>
    <w:rsid w:val="003172AE"/>
    <w:rsid w:val="00317420"/>
    <w:rsid w:val="00317663"/>
    <w:rsid w:val="00317D41"/>
    <w:rsid w:val="0032071E"/>
    <w:rsid w:val="003210F7"/>
    <w:rsid w:val="00321AC9"/>
    <w:rsid w:val="00321B9E"/>
    <w:rsid w:val="0032311E"/>
    <w:rsid w:val="00325192"/>
    <w:rsid w:val="0032586D"/>
    <w:rsid w:val="00325915"/>
    <w:rsid w:val="00325988"/>
    <w:rsid w:val="00326501"/>
    <w:rsid w:val="00326975"/>
    <w:rsid w:val="00326AE7"/>
    <w:rsid w:val="00326BCB"/>
    <w:rsid w:val="00326C1F"/>
    <w:rsid w:val="00327D5D"/>
    <w:rsid w:val="00330D4E"/>
    <w:rsid w:val="00332150"/>
    <w:rsid w:val="00332316"/>
    <w:rsid w:val="00332A43"/>
    <w:rsid w:val="00332DD0"/>
    <w:rsid w:val="0033462A"/>
    <w:rsid w:val="00335038"/>
    <w:rsid w:val="00335A6C"/>
    <w:rsid w:val="00336612"/>
    <w:rsid w:val="00341302"/>
    <w:rsid w:val="00341DA8"/>
    <w:rsid w:val="003428BA"/>
    <w:rsid w:val="00342C42"/>
    <w:rsid w:val="003443EC"/>
    <w:rsid w:val="00344839"/>
    <w:rsid w:val="003456C8"/>
    <w:rsid w:val="00345980"/>
    <w:rsid w:val="00346A3A"/>
    <w:rsid w:val="0034775D"/>
    <w:rsid w:val="00347C68"/>
    <w:rsid w:val="003503F0"/>
    <w:rsid w:val="00351404"/>
    <w:rsid w:val="00352B7D"/>
    <w:rsid w:val="00352BD3"/>
    <w:rsid w:val="003542FB"/>
    <w:rsid w:val="0035562E"/>
    <w:rsid w:val="00356975"/>
    <w:rsid w:val="00360502"/>
    <w:rsid w:val="00361670"/>
    <w:rsid w:val="003617FC"/>
    <w:rsid w:val="003618DA"/>
    <w:rsid w:val="00361E15"/>
    <w:rsid w:val="00361F8E"/>
    <w:rsid w:val="0036254D"/>
    <w:rsid w:val="0036529D"/>
    <w:rsid w:val="0036540D"/>
    <w:rsid w:val="00365689"/>
    <w:rsid w:val="003657EF"/>
    <w:rsid w:val="00365A14"/>
    <w:rsid w:val="00366389"/>
    <w:rsid w:val="00366A3A"/>
    <w:rsid w:val="00367238"/>
    <w:rsid w:val="003674A2"/>
    <w:rsid w:val="003677AC"/>
    <w:rsid w:val="00367849"/>
    <w:rsid w:val="00367C95"/>
    <w:rsid w:val="00370D36"/>
    <w:rsid w:val="00370F49"/>
    <w:rsid w:val="00371B7D"/>
    <w:rsid w:val="00372DD0"/>
    <w:rsid w:val="0037300E"/>
    <w:rsid w:val="00373538"/>
    <w:rsid w:val="0037573D"/>
    <w:rsid w:val="0037627E"/>
    <w:rsid w:val="00377CF2"/>
    <w:rsid w:val="003803CE"/>
    <w:rsid w:val="00380994"/>
    <w:rsid w:val="003809DA"/>
    <w:rsid w:val="0038288E"/>
    <w:rsid w:val="003841DE"/>
    <w:rsid w:val="0038552C"/>
    <w:rsid w:val="00385A9C"/>
    <w:rsid w:val="0038668F"/>
    <w:rsid w:val="00386A20"/>
    <w:rsid w:val="003876E1"/>
    <w:rsid w:val="00387AA8"/>
    <w:rsid w:val="00391123"/>
    <w:rsid w:val="00391A4F"/>
    <w:rsid w:val="0039386B"/>
    <w:rsid w:val="0039422B"/>
    <w:rsid w:val="003950A5"/>
    <w:rsid w:val="003957A2"/>
    <w:rsid w:val="00395D8A"/>
    <w:rsid w:val="00395F8C"/>
    <w:rsid w:val="00396A11"/>
    <w:rsid w:val="003973C1"/>
    <w:rsid w:val="00397834"/>
    <w:rsid w:val="003A0624"/>
    <w:rsid w:val="003A21B3"/>
    <w:rsid w:val="003A2446"/>
    <w:rsid w:val="003A2C70"/>
    <w:rsid w:val="003A2E1E"/>
    <w:rsid w:val="003A2E32"/>
    <w:rsid w:val="003A2E74"/>
    <w:rsid w:val="003A348A"/>
    <w:rsid w:val="003A3BF7"/>
    <w:rsid w:val="003A4D35"/>
    <w:rsid w:val="003A4DA1"/>
    <w:rsid w:val="003A4EAB"/>
    <w:rsid w:val="003A51A9"/>
    <w:rsid w:val="003A6491"/>
    <w:rsid w:val="003A69F8"/>
    <w:rsid w:val="003A733C"/>
    <w:rsid w:val="003A747B"/>
    <w:rsid w:val="003B0589"/>
    <w:rsid w:val="003B19E1"/>
    <w:rsid w:val="003B1D05"/>
    <w:rsid w:val="003B231C"/>
    <w:rsid w:val="003B35C3"/>
    <w:rsid w:val="003B54AB"/>
    <w:rsid w:val="003B58D0"/>
    <w:rsid w:val="003B614E"/>
    <w:rsid w:val="003B6475"/>
    <w:rsid w:val="003C025F"/>
    <w:rsid w:val="003C081A"/>
    <w:rsid w:val="003C14C6"/>
    <w:rsid w:val="003C2BC4"/>
    <w:rsid w:val="003C3695"/>
    <w:rsid w:val="003C3BEC"/>
    <w:rsid w:val="003C416D"/>
    <w:rsid w:val="003C44A7"/>
    <w:rsid w:val="003C4D1C"/>
    <w:rsid w:val="003C7EE2"/>
    <w:rsid w:val="003D0686"/>
    <w:rsid w:val="003D2472"/>
    <w:rsid w:val="003D284A"/>
    <w:rsid w:val="003D408D"/>
    <w:rsid w:val="003D5729"/>
    <w:rsid w:val="003D5EDE"/>
    <w:rsid w:val="003D60BB"/>
    <w:rsid w:val="003D7645"/>
    <w:rsid w:val="003D7EA2"/>
    <w:rsid w:val="003E0289"/>
    <w:rsid w:val="003E0659"/>
    <w:rsid w:val="003E15DB"/>
    <w:rsid w:val="003E2BDC"/>
    <w:rsid w:val="003E470C"/>
    <w:rsid w:val="003E5A53"/>
    <w:rsid w:val="003E5ACF"/>
    <w:rsid w:val="003E5E42"/>
    <w:rsid w:val="003E5E85"/>
    <w:rsid w:val="003E67D1"/>
    <w:rsid w:val="003E6E66"/>
    <w:rsid w:val="003E7118"/>
    <w:rsid w:val="003E7345"/>
    <w:rsid w:val="003F0895"/>
    <w:rsid w:val="003F19E9"/>
    <w:rsid w:val="003F26F1"/>
    <w:rsid w:val="003F33B0"/>
    <w:rsid w:val="003F3F33"/>
    <w:rsid w:val="003F52D9"/>
    <w:rsid w:val="003F68DA"/>
    <w:rsid w:val="003F6CC9"/>
    <w:rsid w:val="003F6F44"/>
    <w:rsid w:val="004021C7"/>
    <w:rsid w:val="004039C9"/>
    <w:rsid w:val="00403CBE"/>
    <w:rsid w:val="00404DF5"/>
    <w:rsid w:val="00407208"/>
    <w:rsid w:val="0041131D"/>
    <w:rsid w:val="004131AC"/>
    <w:rsid w:val="004134E5"/>
    <w:rsid w:val="004142E1"/>
    <w:rsid w:val="00414475"/>
    <w:rsid w:val="0041450B"/>
    <w:rsid w:val="00414749"/>
    <w:rsid w:val="00414FAD"/>
    <w:rsid w:val="00417684"/>
    <w:rsid w:val="00417CA9"/>
    <w:rsid w:val="00417CBA"/>
    <w:rsid w:val="00420CC1"/>
    <w:rsid w:val="0042168B"/>
    <w:rsid w:val="00421B55"/>
    <w:rsid w:val="00422239"/>
    <w:rsid w:val="0042229C"/>
    <w:rsid w:val="00423F8A"/>
    <w:rsid w:val="0042447C"/>
    <w:rsid w:val="004249EF"/>
    <w:rsid w:val="004275FB"/>
    <w:rsid w:val="00430201"/>
    <w:rsid w:val="00430FC2"/>
    <w:rsid w:val="00431CA5"/>
    <w:rsid w:val="00432159"/>
    <w:rsid w:val="0043276F"/>
    <w:rsid w:val="00432C98"/>
    <w:rsid w:val="004339EC"/>
    <w:rsid w:val="00433AE1"/>
    <w:rsid w:val="00433F8B"/>
    <w:rsid w:val="004363CD"/>
    <w:rsid w:val="00436724"/>
    <w:rsid w:val="0043682A"/>
    <w:rsid w:val="00436980"/>
    <w:rsid w:val="0043790A"/>
    <w:rsid w:val="00437AC3"/>
    <w:rsid w:val="0044308F"/>
    <w:rsid w:val="00443CDD"/>
    <w:rsid w:val="004458E6"/>
    <w:rsid w:val="00446BF4"/>
    <w:rsid w:val="00446E29"/>
    <w:rsid w:val="00447A3E"/>
    <w:rsid w:val="004501E8"/>
    <w:rsid w:val="0045301D"/>
    <w:rsid w:val="00453AD8"/>
    <w:rsid w:val="00453C4D"/>
    <w:rsid w:val="004544C0"/>
    <w:rsid w:val="0045467A"/>
    <w:rsid w:val="00455CD8"/>
    <w:rsid w:val="00456FA4"/>
    <w:rsid w:val="004601B6"/>
    <w:rsid w:val="004610A1"/>
    <w:rsid w:val="0046236B"/>
    <w:rsid w:val="004626FA"/>
    <w:rsid w:val="00462E19"/>
    <w:rsid w:val="00464002"/>
    <w:rsid w:val="00464275"/>
    <w:rsid w:val="004660CE"/>
    <w:rsid w:val="0046649C"/>
    <w:rsid w:val="00466E98"/>
    <w:rsid w:val="00467E9C"/>
    <w:rsid w:val="004701AA"/>
    <w:rsid w:val="004708C3"/>
    <w:rsid w:val="00474265"/>
    <w:rsid w:val="00474983"/>
    <w:rsid w:val="004767DF"/>
    <w:rsid w:val="0047686F"/>
    <w:rsid w:val="00482C23"/>
    <w:rsid w:val="00483774"/>
    <w:rsid w:val="004862BB"/>
    <w:rsid w:val="004913B7"/>
    <w:rsid w:val="004914B9"/>
    <w:rsid w:val="00491814"/>
    <w:rsid w:val="00491F7A"/>
    <w:rsid w:val="004922BA"/>
    <w:rsid w:val="00492392"/>
    <w:rsid w:val="00492D25"/>
    <w:rsid w:val="00492E57"/>
    <w:rsid w:val="00493205"/>
    <w:rsid w:val="0049396C"/>
    <w:rsid w:val="00493D20"/>
    <w:rsid w:val="00493DAC"/>
    <w:rsid w:val="004967DB"/>
    <w:rsid w:val="00496A78"/>
    <w:rsid w:val="00497D24"/>
    <w:rsid w:val="004A005B"/>
    <w:rsid w:val="004A0B4D"/>
    <w:rsid w:val="004A0D0F"/>
    <w:rsid w:val="004A24E2"/>
    <w:rsid w:val="004A3676"/>
    <w:rsid w:val="004A45F3"/>
    <w:rsid w:val="004A4EBB"/>
    <w:rsid w:val="004A53F4"/>
    <w:rsid w:val="004A553C"/>
    <w:rsid w:val="004A5623"/>
    <w:rsid w:val="004A5F22"/>
    <w:rsid w:val="004B0AF9"/>
    <w:rsid w:val="004B1D05"/>
    <w:rsid w:val="004B25CE"/>
    <w:rsid w:val="004B287B"/>
    <w:rsid w:val="004B3287"/>
    <w:rsid w:val="004B4877"/>
    <w:rsid w:val="004B49D9"/>
    <w:rsid w:val="004B4E7B"/>
    <w:rsid w:val="004B52B8"/>
    <w:rsid w:val="004B798B"/>
    <w:rsid w:val="004C0020"/>
    <w:rsid w:val="004C0330"/>
    <w:rsid w:val="004C0AF2"/>
    <w:rsid w:val="004C0EAD"/>
    <w:rsid w:val="004C139A"/>
    <w:rsid w:val="004C1CBA"/>
    <w:rsid w:val="004C20A3"/>
    <w:rsid w:val="004C26FB"/>
    <w:rsid w:val="004C328F"/>
    <w:rsid w:val="004C4CEC"/>
    <w:rsid w:val="004C4E1F"/>
    <w:rsid w:val="004C523D"/>
    <w:rsid w:val="004C532B"/>
    <w:rsid w:val="004C5C35"/>
    <w:rsid w:val="004C75A9"/>
    <w:rsid w:val="004D075D"/>
    <w:rsid w:val="004D1083"/>
    <w:rsid w:val="004D1CE9"/>
    <w:rsid w:val="004D2741"/>
    <w:rsid w:val="004D28D9"/>
    <w:rsid w:val="004D2A9E"/>
    <w:rsid w:val="004D2DB6"/>
    <w:rsid w:val="004D3A1B"/>
    <w:rsid w:val="004D3CA3"/>
    <w:rsid w:val="004D4CD0"/>
    <w:rsid w:val="004D4CEF"/>
    <w:rsid w:val="004D5E66"/>
    <w:rsid w:val="004D7EFD"/>
    <w:rsid w:val="004E009A"/>
    <w:rsid w:val="004E0524"/>
    <w:rsid w:val="004E16F7"/>
    <w:rsid w:val="004E1872"/>
    <w:rsid w:val="004E1B04"/>
    <w:rsid w:val="004E1C64"/>
    <w:rsid w:val="004E1D43"/>
    <w:rsid w:val="004E3495"/>
    <w:rsid w:val="004E45A4"/>
    <w:rsid w:val="004E465C"/>
    <w:rsid w:val="004E4801"/>
    <w:rsid w:val="004E4EE9"/>
    <w:rsid w:val="004E5612"/>
    <w:rsid w:val="004E5D1A"/>
    <w:rsid w:val="004E5E18"/>
    <w:rsid w:val="004E5F6F"/>
    <w:rsid w:val="004E60E3"/>
    <w:rsid w:val="004E6B9E"/>
    <w:rsid w:val="004E7EF3"/>
    <w:rsid w:val="004F0504"/>
    <w:rsid w:val="004F0D3F"/>
    <w:rsid w:val="004F23C7"/>
    <w:rsid w:val="004F2789"/>
    <w:rsid w:val="004F425B"/>
    <w:rsid w:val="004F5DAE"/>
    <w:rsid w:val="004F6D80"/>
    <w:rsid w:val="004F73A2"/>
    <w:rsid w:val="004F7EFB"/>
    <w:rsid w:val="00500D84"/>
    <w:rsid w:val="005015B3"/>
    <w:rsid w:val="0050233D"/>
    <w:rsid w:val="005026F3"/>
    <w:rsid w:val="005034A8"/>
    <w:rsid w:val="00504286"/>
    <w:rsid w:val="00505616"/>
    <w:rsid w:val="00505671"/>
    <w:rsid w:val="005057CC"/>
    <w:rsid w:val="00506E3A"/>
    <w:rsid w:val="00507F9C"/>
    <w:rsid w:val="0051058C"/>
    <w:rsid w:val="00512681"/>
    <w:rsid w:val="00513934"/>
    <w:rsid w:val="005144CC"/>
    <w:rsid w:val="005145E0"/>
    <w:rsid w:val="00514BF2"/>
    <w:rsid w:val="00514EFA"/>
    <w:rsid w:val="005166B0"/>
    <w:rsid w:val="005168C9"/>
    <w:rsid w:val="0051708C"/>
    <w:rsid w:val="005205A5"/>
    <w:rsid w:val="00520F65"/>
    <w:rsid w:val="005217DA"/>
    <w:rsid w:val="005218C8"/>
    <w:rsid w:val="00521E97"/>
    <w:rsid w:val="00522070"/>
    <w:rsid w:val="005236A0"/>
    <w:rsid w:val="00523726"/>
    <w:rsid w:val="00524475"/>
    <w:rsid w:val="005254B0"/>
    <w:rsid w:val="00525739"/>
    <w:rsid w:val="005258DB"/>
    <w:rsid w:val="00525D2A"/>
    <w:rsid w:val="00526843"/>
    <w:rsid w:val="00526C7E"/>
    <w:rsid w:val="005274BA"/>
    <w:rsid w:val="00527D8D"/>
    <w:rsid w:val="00527FED"/>
    <w:rsid w:val="005300F0"/>
    <w:rsid w:val="00530761"/>
    <w:rsid w:val="00530DAB"/>
    <w:rsid w:val="0053127E"/>
    <w:rsid w:val="0053176B"/>
    <w:rsid w:val="0053194C"/>
    <w:rsid w:val="00531D19"/>
    <w:rsid w:val="0053271B"/>
    <w:rsid w:val="00532F04"/>
    <w:rsid w:val="00534418"/>
    <w:rsid w:val="0053456C"/>
    <w:rsid w:val="00534B70"/>
    <w:rsid w:val="00534D54"/>
    <w:rsid w:val="00534D77"/>
    <w:rsid w:val="00536DD0"/>
    <w:rsid w:val="0054109F"/>
    <w:rsid w:val="005413B4"/>
    <w:rsid w:val="00541625"/>
    <w:rsid w:val="00541889"/>
    <w:rsid w:val="00541DF1"/>
    <w:rsid w:val="005430F7"/>
    <w:rsid w:val="005434DE"/>
    <w:rsid w:val="005436FB"/>
    <w:rsid w:val="00544407"/>
    <w:rsid w:val="00545567"/>
    <w:rsid w:val="00545984"/>
    <w:rsid w:val="00545E46"/>
    <w:rsid w:val="0054749E"/>
    <w:rsid w:val="0054773F"/>
    <w:rsid w:val="00550314"/>
    <w:rsid w:val="0055107F"/>
    <w:rsid w:val="0055149F"/>
    <w:rsid w:val="0055197C"/>
    <w:rsid w:val="005524F0"/>
    <w:rsid w:val="00552E9D"/>
    <w:rsid w:val="00552F3A"/>
    <w:rsid w:val="005530CE"/>
    <w:rsid w:val="00553B88"/>
    <w:rsid w:val="00553BB7"/>
    <w:rsid w:val="0055408A"/>
    <w:rsid w:val="005540C3"/>
    <w:rsid w:val="00554325"/>
    <w:rsid w:val="005545B0"/>
    <w:rsid w:val="005549A0"/>
    <w:rsid w:val="005552B7"/>
    <w:rsid w:val="00555312"/>
    <w:rsid w:val="00555880"/>
    <w:rsid w:val="005561E3"/>
    <w:rsid w:val="005562E1"/>
    <w:rsid w:val="00560077"/>
    <w:rsid w:val="0056045E"/>
    <w:rsid w:val="0056068D"/>
    <w:rsid w:val="00561A6F"/>
    <w:rsid w:val="00561B1D"/>
    <w:rsid w:val="00561F8E"/>
    <w:rsid w:val="00562457"/>
    <w:rsid w:val="00562C88"/>
    <w:rsid w:val="00563827"/>
    <w:rsid w:val="00563C60"/>
    <w:rsid w:val="0056431D"/>
    <w:rsid w:val="00564B02"/>
    <w:rsid w:val="00564EE7"/>
    <w:rsid w:val="00565A31"/>
    <w:rsid w:val="005669DA"/>
    <w:rsid w:val="00566EF5"/>
    <w:rsid w:val="005707C9"/>
    <w:rsid w:val="00570A2C"/>
    <w:rsid w:val="005725F4"/>
    <w:rsid w:val="005731E1"/>
    <w:rsid w:val="005742AE"/>
    <w:rsid w:val="0057502F"/>
    <w:rsid w:val="00575276"/>
    <w:rsid w:val="0058124F"/>
    <w:rsid w:val="00581DD7"/>
    <w:rsid w:val="00582B8E"/>
    <w:rsid w:val="00583274"/>
    <w:rsid w:val="00585428"/>
    <w:rsid w:val="005854E8"/>
    <w:rsid w:val="00586BB5"/>
    <w:rsid w:val="00586C8C"/>
    <w:rsid w:val="00590898"/>
    <w:rsid w:val="0059139F"/>
    <w:rsid w:val="00591816"/>
    <w:rsid w:val="00591D90"/>
    <w:rsid w:val="00593B15"/>
    <w:rsid w:val="00593CDF"/>
    <w:rsid w:val="00594D4D"/>
    <w:rsid w:val="0059612E"/>
    <w:rsid w:val="0059742F"/>
    <w:rsid w:val="005974A7"/>
    <w:rsid w:val="0059784E"/>
    <w:rsid w:val="005A0014"/>
    <w:rsid w:val="005A08E7"/>
    <w:rsid w:val="005A0C28"/>
    <w:rsid w:val="005A13A5"/>
    <w:rsid w:val="005A159F"/>
    <w:rsid w:val="005A258D"/>
    <w:rsid w:val="005A3664"/>
    <w:rsid w:val="005A5163"/>
    <w:rsid w:val="005A5351"/>
    <w:rsid w:val="005B2636"/>
    <w:rsid w:val="005B263C"/>
    <w:rsid w:val="005B2F69"/>
    <w:rsid w:val="005B346B"/>
    <w:rsid w:val="005B39BE"/>
    <w:rsid w:val="005B410B"/>
    <w:rsid w:val="005B5C3C"/>
    <w:rsid w:val="005B7989"/>
    <w:rsid w:val="005C04CA"/>
    <w:rsid w:val="005C08EA"/>
    <w:rsid w:val="005C130C"/>
    <w:rsid w:val="005C1E8C"/>
    <w:rsid w:val="005C2136"/>
    <w:rsid w:val="005C2684"/>
    <w:rsid w:val="005C26DF"/>
    <w:rsid w:val="005C272C"/>
    <w:rsid w:val="005C2BAE"/>
    <w:rsid w:val="005C2D9C"/>
    <w:rsid w:val="005C2F2E"/>
    <w:rsid w:val="005C3947"/>
    <w:rsid w:val="005C49C5"/>
    <w:rsid w:val="005C4CA9"/>
    <w:rsid w:val="005C50D3"/>
    <w:rsid w:val="005C6684"/>
    <w:rsid w:val="005C75C8"/>
    <w:rsid w:val="005D08C3"/>
    <w:rsid w:val="005D18F9"/>
    <w:rsid w:val="005D19D6"/>
    <w:rsid w:val="005D1A73"/>
    <w:rsid w:val="005D20DD"/>
    <w:rsid w:val="005D2220"/>
    <w:rsid w:val="005D294A"/>
    <w:rsid w:val="005D3582"/>
    <w:rsid w:val="005D398D"/>
    <w:rsid w:val="005D5398"/>
    <w:rsid w:val="005D5476"/>
    <w:rsid w:val="005D64C6"/>
    <w:rsid w:val="005D66E9"/>
    <w:rsid w:val="005D6D83"/>
    <w:rsid w:val="005D76C2"/>
    <w:rsid w:val="005E0FCA"/>
    <w:rsid w:val="005E10FB"/>
    <w:rsid w:val="005E2390"/>
    <w:rsid w:val="005E3F82"/>
    <w:rsid w:val="005E4E2C"/>
    <w:rsid w:val="005E4E88"/>
    <w:rsid w:val="005E4FE1"/>
    <w:rsid w:val="005F092A"/>
    <w:rsid w:val="005F0D37"/>
    <w:rsid w:val="005F14FC"/>
    <w:rsid w:val="005F23B4"/>
    <w:rsid w:val="005F3C72"/>
    <w:rsid w:val="005F3EFE"/>
    <w:rsid w:val="005F4EAD"/>
    <w:rsid w:val="005F5D00"/>
    <w:rsid w:val="005F61E8"/>
    <w:rsid w:val="005F6236"/>
    <w:rsid w:val="005F637E"/>
    <w:rsid w:val="005F682E"/>
    <w:rsid w:val="005F6BC9"/>
    <w:rsid w:val="005F6CA1"/>
    <w:rsid w:val="005F7F41"/>
    <w:rsid w:val="006008D1"/>
    <w:rsid w:val="006017C3"/>
    <w:rsid w:val="006023CA"/>
    <w:rsid w:val="00603A7B"/>
    <w:rsid w:val="0060450A"/>
    <w:rsid w:val="006056E0"/>
    <w:rsid w:val="0060608F"/>
    <w:rsid w:val="006069C1"/>
    <w:rsid w:val="00606FF0"/>
    <w:rsid w:val="00611856"/>
    <w:rsid w:val="00611C52"/>
    <w:rsid w:val="00612C77"/>
    <w:rsid w:val="00612ED2"/>
    <w:rsid w:val="00613AAB"/>
    <w:rsid w:val="00613D1C"/>
    <w:rsid w:val="0061490B"/>
    <w:rsid w:val="00617C6B"/>
    <w:rsid w:val="00620444"/>
    <w:rsid w:val="00620AD1"/>
    <w:rsid w:val="00621055"/>
    <w:rsid w:val="006210D8"/>
    <w:rsid w:val="006211ED"/>
    <w:rsid w:val="00621758"/>
    <w:rsid w:val="00621DE4"/>
    <w:rsid w:val="00622E6A"/>
    <w:rsid w:val="00622EAE"/>
    <w:rsid w:val="00623335"/>
    <w:rsid w:val="0062361B"/>
    <w:rsid w:val="00623F34"/>
    <w:rsid w:val="0062432C"/>
    <w:rsid w:val="00624776"/>
    <w:rsid w:val="00624C16"/>
    <w:rsid w:val="00624D73"/>
    <w:rsid w:val="00627329"/>
    <w:rsid w:val="00627913"/>
    <w:rsid w:val="00627C63"/>
    <w:rsid w:val="00630E2D"/>
    <w:rsid w:val="00630EF5"/>
    <w:rsid w:val="00630FA6"/>
    <w:rsid w:val="00632B31"/>
    <w:rsid w:val="00632C58"/>
    <w:rsid w:val="00633248"/>
    <w:rsid w:val="00634F37"/>
    <w:rsid w:val="00635EC2"/>
    <w:rsid w:val="00636203"/>
    <w:rsid w:val="00636B49"/>
    <w:rsid w:val="00636C34"/>
    <w:rsid w:val="00636D2B"/>
    <w:rsid w:val="00640A4A"/>
    <w:rsid w:val="00640B09"/>
    <w:rsid w:val="0064117B"/>
    <w:rsid w:val="0064158E"/>
    <w:rsid w:val="00642D75"/>
    <w:rsid w:val="00642E4C"/>
    <w:rsid w:val="006435BC"/>
    <w:rsid w:val="00643E46"/>
    <w:rsid w:val="0064428F"/>
    <w:rsid w:val="00644A5E"/>
    <w:rsid w:val="00644AB2"/>
    <w:rsid w:val="00645309"/>
    <w:rsid w:val="00645B11"/>
    <w:rsid w:val="00646163"/>
    <w:rsid w:val="00646194"/>
    <w:rsid w:val="00646400"/>
    <w:rsid w:val="006464A4"/>
    <w:rsid w:val="00647FB7"/>
    <w:rsid w:val="0065255E"/>
    <w:rsid w:val="00652864"/>
    <w:rsid w:val="00653760"/>
    <w:rsid w:val="00654052"/>
    <w:rsid w:val="006548B9"/>
    <w:rsid w:val="00654F4E"/>
    <w:rsid w:val="00656C6D"/>
    <w:rsid w:val="00656E62"/>
    <w:rsid w:val="0065746F"/>
    <w:rsid w:val="006600A0"/>
    <w:rsid w:val="0066039C"/>
    <w:rsid w:val="00660536"/>
    <w:rsid w:val="00660F71"/>
    <w:rsid w:val="00661BFE"/>
    <w:rsid w:val="00661F63"/>
    <w:rsid w:val="006624DB"/>
    <w:rsid w:val="0066283A"/>
    <w:rsid w:val="0066307E"/>
    <w:rsid w:val="00663448"/>
    <w:rsid w:val="00663968"/>
    <w:rsid w:val="00664C18"/>
    <w:rsid w:val="00664C72"/>
    <w:rsid w:val="00664F14"/>
    <w:rsid w:val="006654EF"/>
    <w:rsid w:val="00666A4F"/>
    <w:rsid w:val="00666F1D"/>
    <w:rsid w:val="0066721A"/>
    <w:rsid w:val="00670BF4"/>
    <w:rsid w:val="00671864"/>
    <w:rsid w:val="00671D4E"/>
    <w:rsid w:val="006741C3"/>
    <w:rsid w:val="00674551"/>
    <w:rsid w:val="00674BEC"/>
    <w:rsid w:val="0067511A"/>
    <w:rsid w:val="0067581C"/>
    <w:rsid w:val="00675B76"/>
    <w:rsid w:val="00675D0F"/>
    <w:rsid w:val="00676090"/>
    <w:rsid w:val="0067665D"/>
    <w:rsid w:val="00676C7C"/>
    <w:rsid w:val="00677531"/>
    <w:rsid w:val="00677757"/>
    <w:rsid w:val="006777E7"/>
    <w:rsid w:val="006804B1"/>
    <w:rsid w:val="00680581"/>
    <w:rsid w:val="00681512"/>
    <w:rsid w:val="0068278C"/>
    <w:rsid w:val="00683B02"/>
    <w:rsid w:val="00683B8F"/>
    <w:rsid w:val="00683F0E"/>
    <w:rsid w:val="00684A4B"/>
    <w:rsid w:val="00690680"/>
    <w:rsid w:val="0069153E"/>
    <w:rsid w:val="0069266F"/>
    <w:rsid w:val="00693CC0"/>
    <w:rsid w:val="00694713"/>
    <w:rsid w:val="00696326"/>
    <w:rsid w:val="00697FA8"/>
    <w:rsid w:val="006A01EB"/>
    <w:rsid w:val="006A02EB"/>
    <w:rsid w:val="006A0E5B"/>
    <w:rsid w:val="006A0F5C"/>
    <w:rsid w:val="006A120B"/>
    <w:rsid w:val="006A206E"/>
    <w:rsid w:val="006A3BA8"/>
    <w:rsid w:val="006A4BAA"/>
    <w:rsid w:val="006A69E9"/>
    <w:rsid w:val="006A6F70"/>
    <w:rsid w:val="006B0551"/>
    <w:rsid w:val="006B05A7"/>
    <w:rsid w:val="006B156A"/>
    <w:rsid w:val="006B1EC4"/>
    <w:rsid w:val="006B29D3"/>
    <w:rsid w:val="006B2C9D"/>
    <w:rsid w:val="006B326C"/>
    <w:rsid w:val="006B365E"/>
    <w:rsid w:val="006B3781"/>
    <w:rsid w:val="006B3C33"/>
    <w:rsid w:val="006B3E65"/>
    <w:rsid w:val="006B45A7"/>
    <w:rsid w:val="006B4EFD"/>
    <w:rsid w:val="006B55F9"/>
    <w:rsid w:val="006B570B"/>
    <w:rsid w:val="006B5D54"/>
    <w:rsid w:val="006B6B34"/>
    <w:rsid w:val="006B745D"/>
    <w:rsid w:val="006C083D"/>
    <w:rsid w:val="006C0891"/>
    <w:rsid w:val="006C1BF2"/>
    <w:rsid w:val="006C2526"/>
    <w:rsid w:val="006C2CB5"/>
    <w:rsid w:val="006C3839"/>
    <w:rsid w:val="006C3E8F"/>
    <w:rsid w:val="006C46F9"/>
    <w:rsid w:val="006C604A"/>
    <w:rsid w:val="006C6F48"/>
    <w:rsid w:val="006C6FB8"/>
    <w:rsid w:val="006C7736"/>
    <w:rsid w:val="006C7E24"/>
    <w:rsid w:val="006D04D9"/>
    <w:rsid w:val="006D0B7F"/>
    <w:rsid w:val="006D12B9"/>
    <w:rsid w:val="006D26CB"/>
    <w:rsid w:val="006D2782"/>
    <w:rsid w:val="006D2EEB"/>
    <w:rsid w:val="006D5163"/>
    <w:rsid w:val="006D5A50"/>
    <w:rsid w:val="006D61D3"/>
    <w:rsid w:val="006D6D2B"/>
    <w:rsid w:val="006D740A"/>
    <w:rsid w:val="006E004F"/>
    <w:rsid w:val="006E0D3E"/>
    <w:rsid w:val="006E232C"/>
    <w:rsid w:val="006E2A6D"/>
    <w:rsid w:val="006E4A72"/>
    <w:rsid w:val="006E4DF4"/>
    <w:rsid w:val="006E55E7"/>
    <w:rsid w:val="006E5B9B"/>
    <w:rsid w:val="006E5FE1"/>
    <w:rsid w:val="006E6E95"/>
    <w:rsid w:val="006E7045"/>
    <w:rsid w:val="006F047F"/>
    <w:rsid w:val="006F12B6"/>
    <w:rsid w:val="006F2607"/>
    <w:rsid w:val="006F28A3"/>
    <w:rsid w:val="006F2A1B"/>
    <w:rsid w:val="006F3447"/>
    <w:rsid w:val="006F35BF"/>
    <w:rsid w:val="006F403F"/>
    <w:rsid w:val="006F4940"/>
    <w:rsid w:val="006F5628"/>
    <w:rsid w:val="00701AF1"/>
    <w:rsid w:val="00702214"/>
    <w:rsid w:val="00703842"/>
    <w:rsid w:val="00704097"/>
    <w:rsid w:val="00704A18"/>
    <w:rsid w:val="00704D82"/>
    <w:rsid w:val="00704F9D"/>
    <w:rsid w:val="0070619A"/>
    <w:rsid w:val="007061E9"/>
    <w:rsid w:val="007062CC"/>
    <w:rsid w:val="0070637F"/>
    <w:rsid w:val="00706456"/>
    <w:rsid w:val="00706628"/>
    <w:rsid w:val="00706EFB"/>
    <w:rsid w:val="007070AA"/>
    <w:rsid w:val="00707317"/>
    <w:rsid w:val="00707DE9"/>
    <w:rsid w:val="00710D6A"/>
    <w:rsid w:val="00711265"/>
    <w:rsid w:val="0071145F"/>
    <w:rsid w:val="00713D41"/>
    <w:rsid w:val="00714131"/>
    <w:rsid w:val="00715F8D"/>
    <w:rsid w:val="00716206"/>
    <w:rsid w:val="00716772"/>
    <w:rsid w:val="007167A2"/>
    <w:rsid w:val="0071705A"/>
    <w:rsid w:val="00717861"/>
    <w:rsid w:val="007225B8"/>
    <w:rsid w:val="00724D08"/>
    <w:rsid w:val="007264CA"/>
    <w:rsid w:val="0072652B"/>
    <w:rsid w:val="007267C1"/>
    <w:rsid w:val="007269E2"/>
    <w:rsid w:val="00727A6D"/>
    <w:rsid w:val="0073129D"/>
    <w:rsid w:val="007313D8"/>
    <w:rsid w:val="00731CD2"/>
    <w:rsid w:val="007323FC"/>
    <w:rsid w:val="00732588"/>
    <w:rsid w:val="00732DBD"/>
    <w:rsid w:val="00734217"/>
    <w:rsid w:val="00734A29"/>
    <w:rsid w:val="0073555F"/>
    <w:rsid w:val="00735F1C"/>
    <w:rsid w:val="00736197"/>
    <w:rsid w:val="00736EC3"/>
    <w:rsid w:val="0073727A"/>
    <w:rsid w:val="00740183"/>
    <w:rsid w:val="00740D64"/>
    <w:rsid w:val="00741976"/>
    <w:rsid w:val="00741D78"/>
    <w:rsid w:val="00741EE2"/>
    <w:rsid w:val="00741F74"/>
    <w:rsid w:val="007421BC"/>
    <w:rsid w:val="00742336"/>
    <w:rsid w:val="00742A09"/>
    <w:rsid w:val="00742DF6"/>
    <w:rsid w:val="0074313E"/>
    <w:rsid w:val="00743EFF"/>
    <w:rsid w:val="00743F00"/>
    <w:rsid w:val="007450EC"/>
    <w:rsid w:val="007477D9"/>
    <w:rsid w:val="00747930"/>
    <w:rsid w:val="00751852"/>
    <w:rsid w:val="00751F1E"/>
    <w:rsid w:val="00752334"/>
    <w:rsid w:val="007526FC"/>
    <w:rsid w:val="00752DEB"/>
    <w:rsid w:val="00752FA2"/>
    <w:rsid w:val="0075313B"/>
    <w:rsid w:val="0075325F"/>
    <w:rsid w:val="00753333"/>
    <w:rsid w:val="00753A2B"/>
    <w:rsid w:val="00754113"/>
    <w:rsid w:val="0075490C"/>
    <w:rsid w:val="007551BF"/>
    <w:rsid w:val="00755B5F"/>
    <w:rsid w:val="00755BF4"/>
    <w:rsid w:val="007561B8"/>
    <w:rsid w:val="00756EB2"/>
    <w:rsid w:val="0076044D"/>
    <w:rsid w:val="00760D1C"/>
    <w:rsid w:val="00761E1B"/>
    <w:rsid w:val="00762250"/>
    <w:rsid w:val="007628BF"/>
    <w:rsid w:val="00763187"/>
    <w:rsid w:val="00763789"/>
    <w:rsid w:val="0076378F"/>
    <w:rsid w:val="00764B86"/>
    <w:rsid w:val="00765470"/>
    <w:rsid w:val="007659A4"/>
    <w:rsid w:val="0076623B"/>
    <w:rsid w:val="00767973"/>
    <w:rsid w:val="007679A2"/>
    <w:rsid w:val="00770511"/>
    <w:rsid w:val="0077075A"/>
    <w:rsid w:val="00771AD4"/>
    <w:rsid w:val="00774E0D"/>
    <w:rsid w:val="007772A7"/>
    <w:rsid w:val="007778A4"/>
    <w:rsid w:val="00781219"/>
    <w:rsid w:val="0078168D"/>
    <w:rsid w:val="0078254E"/>
    <w:rsid w:val="007825F7"/>
    <w:rsid w:val="0078539A"/>
    <w:rsid w:val="007858D5"/>
    <w:rsid w:val="00786047"/>
    <w:rsid w:val="00786516"/>
    <w:rsid w:val="007877BC"/>
    <w:rsid w:val="00787955"/>
    <w:rsid w:val="007908B5"/>
    <w:rsid w:val="00790B22"/>
    <w:rsid w:val="00790D4A"/>
    <w:rsid w:val="00791EE1"/>
    <w:rsid w:val="00792EB0"/>
    <w:rsid w:val="00793523"/>
    <w:rsid w:val="00793F4A"/>
    <w:rsid w:val="00793FF8"/>
    <w:rsid w:val="007956B6"/>
    <w:rsid w:val="0079702E"/>
    <w:rsid w:val="0079710F"/>
    <w:rsid w:val="007A135C"/>
    <w:rsid w:val="007A1E04"/>
    <w:rsid w:val="007A32D3"/>
    <w:rsid w:val="007A43CD"/>
    <w:rsid w:val="007A5BCC"/>
    <w:rsid w:val="007A7235"/>
    <w:rsid w:val="007A76EA"/>
    <w:rsid w:val="007B0055"/>
    <w:rsid w:val="007B027D"/>
    <w:rsid w:val="007B0555"/>
    <w:rsid w:val="007B0FC1"/>
    <w:rsid w:val="007B2085"/>
    <w:rsid w:val="007B23C3"/>
    <w:rsid w:val="007B3370"/>
    <w:rsid w:val="007B340C"/>
    <w:rsid w:val="007B3B2C"/>
    <w:rsid w:val="007B3D05"/>
    <w:rsid w:val="007B5061"/>
    <w:rsid w:val="007B6887"/>
    <w:rsid w:val="007B7632"/>
    <w:rsid w:val="007C031E"/>
    <w:rsid w:val="007C1032"/>
    <w:rsid w:val="007C1990"/>
    <w:rsid w:val="007C4C08"/>
    <w:rsid w:val="007C5C37"/>
    <w:rsid w:val="007C6735"/>
    <w:rsid w:val="007C7909"/>
    <w:rsid w:val="007D171C"/>
    <w:rsid w:val="007D1D23"/>
    <w:rsid w:val="007D1E3B"/>
    <w:rsid w:val="007D28B5"/>
    <w:rsid w:val="007D46CF"/>
    <w:rsid w:val="007D49E1"/>
    <w:rsid w:val="007D4F05"/>
    <w:rsid w:val="007D5EBF"/>
    <w:rsid w:val="007D7172"/>
    <w:rsid w:val="007D7AB5"/>
    <w:rsid w:val="007D7B54"/>
    <w:rsid w:val="007E085F"/>
    <w:rsid w:val="007E0AE6"/>
    <w:rsid w:val="007E0B1B"/>
    <w:rsid w:val="007E0B2F"/>
    <w:rsid w:val="007E1146"/>
    <w:rsid w:val="007E1AB9"/>
    <w:rsid w:val="007E240B"/>
    <w:rsid w:val="007E5333"/>
    <w:rsid w:val="007E5458"/>
    <w:rsid w:val="007F0D5B"/>
    <w:rsid w:val="007F1649"/>
    <w:rsid w:val="007F1747"/>
    <w:rsid w:val="007F22E4"/>
    <w:rsid w:val="007F283B"/>
    <w:rsid w:val="007F3364"/>
    <w:rsid w:val="007F404C"/>
    <w:rsid w:val="007F40AF"/>
    <w:rsid w:val="007F40E0"/>
    <w:rsid w:val="007F541B"/>
    <w:rsid w:val="00800544"/>
    <w:rsid w:val="00800E6B"/>
    <w:rsid w:val="00801B5D"/>
    <w:rsid w:val="00801DD0"/>
    <w:rsid w:val="008027C4"/>
    <w:rsid w:val="008035BC"/>
    <w:rsid w:val="00804196"/>
    <w:rsid w:val="00804A29"/>
    <w:rsid w:val="00805A79"/>
    <w:rsid w:val="008066BA"/>
    <w:rsid w:val="00806DC0"/>
    <w:rsid w:val="00807C8B"/>
    <w:rsid w:val="00810600"/>
    <w:rsid w:val="00810B94"/>
    <w:rsid w:val="00810BE8"/>
    <w:rsid w:val="00810E64"/>
    <w:rsid w:val="0081367A"/>
    <w:rsid w:val="00813BD0"/>
    <w:rsid w:val="00814224"/>
    <w:rsid w:val="00814E47"/>
    <w:rsid w:val="008163CC"/>
    <w:rsid w:val="00816A3A"/>
    <w:rsid w:val="008172C1"/>
    <w:rsid w:val="00820DEB"/>
    <w:rsid w:val="00820F27"/>
    <w:rsid w:val="008210C2"/>
    <w:rsid w:val="00821E76"/>
    <w:rsid w:val="0082389E"/>
    <w:rsid w:val="008239E6"/>
    <w:rsid w:val="00823C12"/>
    <w:rsid w:val="00823F0C"/>
    <w:rsid w:val="008241CE"/>
    <w:rsid w:val="008243CF"/>
    <w:rsid w:val="0082447B"/>
    <w:rsid w:val="0082495D"/>
    <w:rsid w:val="00824F24"/>
    <w:rsid w:val="00825313"/>
    <w:rsid w:val="0082666D"/>
    <w:rsid w:val="00826BFA"/>
    <w:rsid w:val="00827242"/>
    <w:rsid w:val="008272D7"/>
    <w:rsid w:val="008275E7"/>
    <w:rsid w:val="00827AB6"/>
    <w:rsid w:val="00827D8B"/>
    <w:rsid w:val="008302DA"/>
    <w:rsid w:val="00830CE6"/>
    <w:rsid w:val="00833B04"/>
    <w:rsid w:val="00833DD2"/>
    <w:rsid w:val="00834EF9"/>
    <w:rsid w:val="00836259"/>
    <w:rsid w:val="00837725"/>
    <w:rsid w:val="00840B86"/>
    <w:rsid w:val="0084241C"/>
    <w:rsid w:val="00843354"/>
    <w:rsid w:val="00843A55"/>
    <w:rsid w:val="00843EAA"/>
    <w:rsid w:val="00844511"/>
    <w:rsid w:val="008446E4"/>
    <w:rsid w:val="00845052"/>
    <w:rsid w:val="0084588C"/>
    <w:rsid w:val="00845FD4"/>
    <w:rsid w:val="00846C34"/>
    <w:rsid w:val="008501B3"/>
    <w:rsid w:val="008509AF"/>
    <w:rsid w:val="00852405"/>
    <w:rsid w:val="008524D3"/>
    <w:rsid w:val="008531C6"/>
    <w:rsid w:val="00853C7B"/>
    <w:rsid w:val="0085479D"/>
    <w:rsid w:val="00854DEB"/>
    <w:rsid w:val="00854FAB"/>
    <w:rsid w:val="00855750"/>
    <w:rsid w:val="00856395"/>
    <w:rsid w:val="008565C8"/>
    <w:rsid w:val="00856F9D"/>
    <w:rsid w:val="008572BC"/>
    <w:rsid w:val="00860383"/>
    <w:rsid w:val="00860D73"/>
    <w:rsid w:val="00861704"/>
    <w:rsid w:val="00862758"/>
    <w:rsid w:val="0086314F"/>
    <w:rsid w:val="00863548"/>
    <w:rsid w:val="00864134"/>
    <w:rsid w:val="00864612"/>
    <w:rsid w:val="00864C76"/>
    <w:rsid w:val="008653C7"/>
    <w:rsid w:val="00865E29"/>
    <w:rsid w:val="00866636"/>
    <w:rsid w:val="00867047"/>
    <w:rsid w:val="00867783"/>
    <w:rsid w:val="00870262"/>
    <w:rsid w:val="00870B34"/>
    <w:rsid w:val="008722F3"/>
    <w:rsid w:val="008733AC"/>
    <w:rsid w:val="00873484"/>
    <w:rsid w:val="00873D82"/>
    <w:rsid w:val="0087442C"/>
    <w:rsid w:val="00874E1E"/>
    <w:rsid w:val="0087623F"/>
    <w:rsid w:val="00876345"/>
    <w:rsid w:val="00876EA2"/>
    <w:rsid w:val="00877623"/>
    <w:rsid w:val="00880594"/>
    <w:rsid w:val="008808A1"/>
    <w:rsid w:val="0088132A"/>
    <w:rsid w:val="0088136D"/>
    <w:rsid w:val="00882091"/>
    <w:rsid w:val="00882BAA"/>
    <w:rsid w:val="00882D62"/>
    <w:rsid w:val="00883BAA"/>
    <w:rsid w:val="00884A1E"/>
    <w:rsid w:val="00884CD6"/>
    <w:rsid w:val="0088589A"/>
    <w:rsid w:val="00885F60"/>
    <w:rsid w:val="00886C32"/>
    <w:rsid w:val="00886F96"/>
    <w:rsid w:val="0089038C"/>
    <w:rsid w:val="008909A5"/>
    <w:rsid w:val="00892A4A"/>
    <w:rsid w:val="00892B5A"/>
    <w:rsid w:val="00892D55"/>
    <w:rsid w:val="008941D5"/>
    <w:rsid w:val="00894C5C"/>
    <w:rsid w:val="00895E00"/>
    <w:rsid w:val="008964B3"/>
    <w:rsid w:val="00896739"/>
    <w:rsid w:val="00897851"/>
    <w:rsid w:val="00897944"/>
    <w:rsid w:val="008A090F"/>
    <w:rsid w:val="008A1A44"/>
    <w:rsid w:val="008A1F34"/>
    <w:rsid w:val="008A3024"/>
    <w:rsid w:val="008A41BA"/>
    <w:rsid w:val="008A4390"/>
    <w:rsid w:val="008A4AB1"/>
    <w:rsid w:val="008A5E82"/>
    <w:rsid w:val="008A69CC"/>
    <w:rsid w:val="008A6D41"/>
    <w:rsid w:val="008A7468"/>
    <w:rsid w:val="008B0522"/>
    <w:rsid w:val="008B056F"/>
    <w:rsid w:val="008B2AE6"/>
    <w:rsid w:val="008B356A"/>
    <w:rsid w:val="008B5011"/>
    <w:rsid w:val="008B5CB7"/>
    <w:rsid w:val="008B6896"/>
    <w:rsid w:val="008B7FFD"/>
    <w:rsid w:val="008C3EB5"/>
    <w:rsid w:val="008C410A"/>
    <w:rsid w:val="008C414A"/>
    <w:rsid w:val="008C43DB"/>
    <w:rsid w:val="008C47CC"/>
    <w:rsid w:val="008C5586"/>
    <w:rsid w:val="008C55B6"/>
    <w:rsid w:val="008C602F"/>
    <w:rsid w:val="008C6EDA"/>
    <w:rsid w:val="008C6F56"/>
    <w:rsid w:val="008C7C80"/>
    <w:rsid w:val="008D0000"/>
    <w:rsid w:val="008D04ED"/>
    <w:rsid w:val="008D093B"/>
    <w:rsid w:val="008D0BE5"/>
    <w:rsid w:val="008D17B3"/>
    <w:rsid w:val="008D2F24"/>
    <w:rsid w:val="008D3E3F"/>
    <w:rsid w:val="008D3E6D"/>
    <w:rsid w:val="008D4CE4"/>
    <w:rsid w:val="008D67C8"/>
    <w:rsid w:val="008D6953"/>
    <w:rsid w:val="008D6EA8"/>
    <w:rsid w:val="008D7181"/>
    <w:rsid w:val="008D71E2"/>
    <w:rsid w:val="008D799F"/>
    <w:rsid w:val="008E0522"/>
    <w:rsid w:val="008E163D"/>
    <w:rsid w:val="008E2CAB"/>
    <w:rsid w:val="008E3091"/>
    <w:rsid w:val="008E3309"/>
    <w:rsid w:val="008E47C8"/>
    <w:rsid w:val="008E53B0"/>
    <w:rsid w:val="008E6C38"/>
    <w:rsid w:val="008E78A4"/>
    <w:rsid w:val="008F370C"/>
    <w:rsid w:val="008F5011"/>
    <w:rsid w:val="008F5FDF"/>
    <w:rsid w:val="008F615B"/>
    <w:rsid w:val="008F695C"/>
    <w:rsid w:val="008F6D47"/>
    <w:rsid w:val="008F7A5A"/>
    <w:rsid w:val="008F7CB2"/>
    <w:rsid w:val="009001A6"/>
    <w:rsid w:val="0090046B"/>
    <w:rsid w:val="00900783"/>
    <w:rsid w:val="00901074"/>
    <w:rsid w:val="00901083"/>
    <w:rsid w:val="0090298F"/>
    <w:rsid w:val="0090340A"/>
    <w:rsid w:val="009047AA"/>
    <w:rsid w:val="0090503C"/>
    <w:rsid w:val="009067C1"/>
    <w:rsid w:val="00906F4A"/>
    <w:rsid w:val="00906FC3"/>
    <w:rsid w:val="00907CC1"/>
    <w:rsid w:val="009130D3"/>
    <w:rsid w:val="00913D7A"/>
    <w:rsid w:val="0091459F"/>
    <w:rsid w:val="009156FF"/>
    <w:rsid w:val="009166BC"/>
    <w:rsid w:val="00917B47"/>
    <w:rsid w:val="00921151"/>
    <w:rsid w:val="00921957"/>
    <w:rsid w:val="009219B9"/>
    <w:rsid w:val="009219EE"/>
    <w:rsid w:val="00921B1D"/>
    <w:rsid w:val="00921DB9"/>
    <w:rsid w:val="009226BF"/>
    <w:rsid w:val="009232A8"/>
    <w:rsid w:val="009234AD"/>
    <w:rsid w:val="00923532"/>
    <w:rsid w:val="00926523"/>
    <w:rsid w:val="009271A2"/>
    <w:rsid w:val="009301E1"/>
    <w:rsid w:val="009313F8"/>
    <w:rsid w:val="00932CFE"/>
    <w:rsid w:val="009330A0"/>
    <w:rsid w:val="009333FF"/>
    <w:rsid w:val="00933AB2"/>
    <w:rsid w:val="00934972"/>
    <w:rsid w:val="0093591C"/>
    <w:rsid w:val="00935B92"/>
    <w:rsid w:val="00936E3C"/>
    <w:rsid w:val="0094015B"/>
    <w:rsid w:val="009411D9"/>
    <w:rsid w:val="0094179C"/>
    <w:rsid w:val="00941959"/>
    <w:rsid w:val="00942589"/>
    <w:rsid w:val="009438F1"/>
    <w:rsid w:val="00944D35"/>
    <w:rsid w:val="00944FF4"/>
    <w:rsid w:val="009476EE"/>
    <w:rsid w:val="00947BA8"/>
    <w:rsid w:val="00947D4E"/>
    <w:rsid w:val="0095059B"/>
    <w:rsid w:val="00951266"/>
    <w:rsid w:val="0095162E"/>
    <w:rsid w:val="00951861"/>
    <w:rsid w:val="0095356F"/>
    <w:rsid w:val="00953751"/>
    <w:rsid w:val="0095547C"/>
    <w:rsid w:val="009559D5"/>
    <w:rsid w:val="00955C61"/>
    <w:rsid w:val="0095647E"/>
    <w:rsid w:val="00956899"/>
    <w:rsid w:val="00956F97"/>
    <w:rsid w:val="009614C1"/>
    <w:rsid w:val="00961F55"/>
    <w:rsid w:val="00962835"/>
    <w:rsid w:val="00963785"/>
    <w:rsid w:val="009640FF"/>
    <w:rsid w:val="009662D1"/>
    <w:rsid w:val="009667F2"/>
    <w:rsid w:val="00966BD9"/>
    <w:rsid w:val="00970082"/>
    <w:rsid w:val="00970E70"/>
    <w:rsid w:val="00971402"/>
    <w:rsid w:val="009714B3"/>
    <w:rsid w:val="00972186"/>
    <w:rsid w:val="009736EC"/>
    <w:rsid w:val="00973915"/>
    <w:rsid w:val="009744AD"/>
    <w:rsid w:val="00975A6A"/>
    <w:rsid w:val="00976003"/>
    <w:rsid w:val="00976A3E"/>
    <w:rsid w:val="009773A5"/>
    <w:rsid w:val="0098123F"/>
    <w:rsid w:val="009816EB"/>
    <w:rsid w:val="009822FC"/>
    <w:rsid w:val="00982453"/>
    <w:rsid w:val="0098289B"/>
    <w:rsid w:val="009831D9"/>
    <w:rsid w:val="009835C6"/>
    <w:rsid w:val="00984C71"/>
    <w:rsid w:val="009858C7"/>
    <w:rsid w:val="009858D0"/>
    <w:rsid w:val="00985D27"/>
    <w:rsid w:val="009878AF"/>
    <w:rsid w:val="00990033"/>
    <w:rsid w:val="0099084D"/>
    <w:rsid w:val="00990E43"/>
    <w:rsid w:val="009910C1"/>
    <w:rsid w:val="00991C5E"/>
    <w:rsid w:val="00991DC8"/>
    <w:rsid w:val="00991EDC"/>
    <w:rsid w:val="00991FF5"/>
    <w:rsid w:val="00992629"/>
    <w:rsid w:val="00992BF8"/>
    <w:rsid w:val="00994D7D"/>
    <w:rsid w:val="009952EE"/>
    <w:rsid w:val="00995808"/>
    <w:rsid w:val="00996225"/>
    <w:rsid w:val="0099625A"/>
    <w:rsid w:val="009964C8"/>
    <w:rsid w:val="009974A5"/>
    <w:rsid w:val="009A14E0"/>
    <w:rsid w:val="009A188A"/>
    <w:rsid w:val="009A25BD"/>
    <w:rsid w:val="009A25DD"/>
    <w:rsid w:val="009A287A"/>
    <w:rsid w:val="009A3AF7"/>
    <w:rsid w:val="009A6604"/>
    <w:rsid w:val="009A7393"/>
    <w:rsid w:val="009A7842"/>
    <w:rsid w:val="009A7A4D"/>
    <w:rsid w:val="009A7D61"/>
    <w:rsid w:val="009B055D"/>
    <w:rsid w:val="009B0671"/>
    <w:rsid w:val="009B06CD"/>
    <w:rsid w:val="009B122E"/>
    <w:rsid w:val="009B46EF"/>
    <w:rsid w:val="009B642B"/>
    <w:rsid w:val="009B67FB"/>
    <w:rsid w:val="009B6A52"/>
    <w:rsid w:val="009B7082"/>
    <w:rsid w:val="009B745D"/>
    <w:rsid w:val="009B7614"/>
    <w:rsid w:val="009B775E"/>
    <w:rsid w:val="009B7EF6"/>
    <w:rsid w:val="009C2578"/>
    <w:rsid w:val="009C2DAF"/>
    <w:rsid w:val="009C34C9"/>
    <w:rsid w:val="009C368B"/>
    <w:rsid w:val="009C36AA"/>
    <w:rsid w:val="009C3738"/>
    <w:rsid w:val="009C3853"/>
    <w:rsid w:val="009C4F83"/>
    <w:rsid w:val="009C573D"/>
    <w:rsid w:val="009C6764"/>
    <w:rsid w:val="009C6DED"/>
    <w:rsid w:val="009C7A14"/>
    <w:rsid w:val="009D0106"/>
    <w:rsid w:val="009D16FD"/>
    <w:rsid w:val="009D19A0"/>
    <w:rsid w:val="009D1DA0"/>
    <w:rsid w:val="009D2031"/>
    <w:rsid w:val="009D61AE"/>
    <w:rsid w:val="009D7D84"/>
    <w:rsid w:val="009E06AC"/>
    <w:rsid w:val="009E10D9"/>
    <w:rsid w:val="009E1228"/>
    <w:rsid w:val="009E35D0"/>
    <w:rsid w:val="009E380C"/>
    <w:rsid w:val="009E3BF1"/>
    <w:rsid w:val="009E5956"/>
    <w:rsid w:val="009E5AAE"/>
    <w:rsid w:val="009E6234"/>
    <w:rsid w:val="009E63EB"/>
    <w:rsid w:val="009E67AA"/>
    <w:rsid w:val="009E75BC"/>
    <w:rsid w:val="009E7E51"/>
    <w:rsid w:val="009F02F0"/>
    <w:rsid w:val="009F1063"/>
    <w:rsid w:val="009F16B0"/>
    <w:rsid w:val="009F171C"/>
    <w:rsid w:val="009F1DB9"/>
    <w:rsid w:val="009F2A15"/>
    <w:rsid w:val="009F4EE1"/>
    <w:rsid w:val="009F54B1"/>
    <w:rsid w:val="009F5B4E"/>
    <w:rsid w:val="009F5BCF"/>
    <w:rsid w:val="009F7A95"/>
    <w:rsid w:val="009F7E1A"/>
    <w:rsid w:val="00A0003F"/>
    <w:rsid w:val="00A00672"/>
    <w:rsid w:val="00A01609"/>
    <w:rsid w:val="00A03428"/>
    <w:rsid w:val="00A0728F"/>
    <w:rsid w:val="00A07B9C"/>
    <w:rsid w:val="00A1063E"/>
    <w:rsid w:val="00A1120C"/>
    <w:rsid w:val="00A11658"/>
    <w:rsid w:val="00A120FE"/>
    <w:rsid w:val="00A128A9"/>
    <w:rsid w:val="00A12D68"/>
    <w:rsid w:val="00A13EC2"/>
    <w:rsid w:val="00A14B23"/>
    <w:rsid w:val="00A151CF"/>
    <w:rsid w:val="00A16E38"/>
    <w:rsid w:val="00A17276"/>
    <w:rsid w:val="00A20550"/>
    <w:rsid w:val="00A20CD2"/>
    <w:rsid w:val="00A20FF0"/>
    <w:rsid w:val="00A21FBE"/>
    <w:rsid w:val="00A22BBE"/>
    <w:rsid w:val="00A22D3D"/>
    <w:rsid w:val="00A23327"/>
    <w:rsid w:val="00A2378C"/>
    <w:rsid w:val="00A23D11"/>
    <w:rsid w:val="00A23D19"/>
    <w:rsid w:val="00A23D68"/>
    <w:rsid w:val="00A25C04"/>
    <w:rsid w:val="00A2668C"/>
    <w:rsid w:val="00A26C6E"/>
    <w:rsid w:val="00A27458"/>
    <w:rsid w:val="00A274F6"/>
    <w:rsid w:val="00A2750B"/>
    <w:rsid w:val="00A30F63"/>
    <w:rsid w:val="00A315D9"/>
    <w:rsid w:val="00A31A47"/>
    <w:rsid w:val="00A32427"/>
    <w:rsid w:val="00A35271"/>
    <w:rsid w:val="00A352B5"/>
    <w:rsid w:val="00A35FE9"/>
    <w:rsid w:val="00A37414"/>
    <w:rsid w:val="00A37B1E"/>
    <w:rsid w:val="00A403EB"/>
    <w:rsid w:val="00A40CE5"/>
    <w:rsid w:val="00A40F6E"/>
    <w:rsid w:val="00A413F5"/>
    <w:rsid w:val="00A41BD4"/>
    <w:rsid w:val="00A41C62"/>
    <w:rsid w:val="00A4210E"/>
    <w:rsid w:val="00A42700"/>
    <w:rsid w:val="00A42708"/>
    <w:rsid w:val="00A42897"/>
    <w:rsid w:val="00A43779"/>
    <w:rsid w:val="00A43BE1"/>
    <w:rsid w:val="00A448F0"/>
    <w:rsid w:val="00A4508F"/>
    <w:rsid w:val="00A455C9"/>
    <w:rsid w:val="00A4564B"/>
    <w:rsid w:val="00A45A5A"/>
    <w:rsid w:val="00A464DA"/>
    <w:rsid w:val="00A46E2C"/>
    <w:rsid w:val="00A476F7"/>
    <w:rsid w:val="00A503D2"/>
    <w:rsid w:val="00A506E1"/>
    <w:rsid w:val="00A519D6"/>
    <w:rsid w:val="00A51A45"/>
    <w:rsid w:val="00A52DAB"/>
    <w:rsid w:val="00A52E19"/>
    <w:rsid w:val="00A53510"/>
    <w:rsid w:val="00A535DA"/>
    <w:rsid w:val="00A536B5"/>
    <w:rsid w:val="00A53722"/>
    <w:rsid w:val="00A53D6C"/>
    <w:rsid w:val="00A53ED7"/>
    <w:rsid w:val="00A54109"/>
    <w:rsid w:val="00A54B39"/>
    <w:rsid w:val="00A558B4"/>
    <w:rsid w:val="00A56155"/>
    <w:rsid w:val="00A561BE"/>
    <w:rsid w:val="00A57417"/>
    <w:rsid w:val="00A57E46"/>
    <w:rsid w:val="00A60F3D"/>
    <w:rsid w:val="00A62AC9"/>
    <w:rsid w:val="00A64B24"/>
    <w:rsid w:val="00A64F6B"/>
    <w:rsid w:val="00A65B6D"/>
    <w:rsid w:val="00A65E58"/>
    <w:rsid w:val="00A678BC"/>
    <w:rsid w:val="00A70014"/>
    <w:rsid w:val="00A70792"/>
    <w:rsid w:val="00A70D35"/>
    <w:rsid w:val="00A712F0"/>
    <w:rsid w:val="00A71337"/>
    <w:rsid w:val="00A727DE"/>
    <w:rsid w:val="00A731D5"/>
    <w:rsid w:val="00A73347"/>
    <w:rsid w:val="00A734C2"/>
    <w:rsid w:val="00A74913"/>
    <w:rsid w:val="00A75A1C"/>
    <w:rsid w:val="00A7758C"/>
    <w:rsid w:val="00A77657"/>
    <w:rsid w:val="00A8097A"/>
    <w:rsid w:val="00A80C06"/>
    <w:rsid w:val="00A80EE1"/>
    <w:rsid w:val="00A810D5"/>
    <w:rsid w:val="00A817B5"/>
    <w:rsid w:val="00A81A55"/>
    <w:rsid w:val="00A824C2"/>
    <w:rsid w:val="00A82BCA"/>
    <w:rsid w:val="00A83B53"/>
    <w:rsid w:val="00A83C1A"/>
    <w:rsid w:val="00A846A2"/>
    <w:rsid w:val="00A85A10"/>
    <w:rsid w:val="00A85DBD"/>
    <w:rsid w:val="00A85DF4"/>
    <w:rsid w:val="00A86450"/>
    <w:rsid w:val="00A87BB2"/>
    <w:rsid w:val="00A902F7"/>
    <w:rsid w:val="00A90936"/>
    <w:rsid w:val="00A90EA0"/>
    <w:rsid w:val="00A92019"/>
    <w:rsid w:val="00A94701"/>
    <w:rsid w:val="00A94C1B"/>
    <w:rsid w:val="00A94C46"/>
    <w:rsid w:val="00A97464"/>
    <w:rsid w:val="00AA018A"/>
    <w:rsid w:val="00AA0860"/>
    <w:rsid w:val="00AA136A"/>
    <w:rsid w:val="00AA1B34"/>
    <w:rsid w:val="00AA38B8"/>
    <w:rsid w:val="00AA3A02"/>
    <w:rsid w:val="00AA42CE"/>
    <w:rsid w:val="00AA4EC5"/>
    <w:rsid w:val="00AA68A9"/>
    <w:rsid w:val="00AA70ED"/>
    <w:rsid w:val="00AB04B9"/>
    <w:rsid w:val="00AB0850"/>
    <w:rsid w:val="00AB1566"/>
    <w:rsid w:val="00AB2E73"/>
    <w:rsid w:val="00AB3192"/>
    <w:rsid w:val="00AB37A3"/>
    <w:rsid w:val="00AB3F6E"/>
    <w:rsid w:val="00AB6F15"/>
    <w:rsid w:val="00AB7968"/>
    <w:rsid w:val="00AC062F"/>
    <w:rsid w:val="00AC1B50"/>
    <w:rsid w:val="00AC1B8F"/>
    <w:rsid w:val="00AC1F65"/>
    <w:rsid w:val="00AC1FD5"/>
    <w:rsid w:val="00AC3328"/>
    <w:rsid w:val="00AC38B9"/>
    <w:rsid w:val="00AC5278"/>
    <w:rsid w:val="00AC5A2E"/>
    <w:rsid w:val="00AC5CFB"/>
    <w:rsid w:val="00AC68DD"/>
    <w:rsid w:val="00AD0C68"/>
    <w:rsid w:val="00AD5B17"/>
    <w:rsid w:val="00AD5D99"/>
    <w:rsid w:val="00AD5FFD"/>
    <w:rsid w:val="00AD6201"/>
    <w:rsid w:val="00AD6AD3"/>
    <w:rsid w:val="00AD6C55"/>
    <w:rsid w:val="00AD74B9"/>
    <w:rsid w:val="00AD7D6B"/>
    <w:rsid w:val="00AE1BF3"/>
    <w:rsid w:val="00AE1D89"/>
    <w:rsid w:val="00AE23F9"/>
    <w:rsid w:val="00AE275C"/>
    <w:rsid w:val="00AE3B3A"/>
    <w:rsid w:val="00AE48DA"/>
    <w:rsid w:val="00AE5538"/>
    <w:rsid w:val="00AE5BB9"/>
    <w:rsid w:val="00AF0803"/>
    <w:rsid w:val="00AF1C31"/>
    <w:rsid w:val="00AF1FA7"/>
    <w:rsid w:val="00AF27B7"/>
    <w:rsid w:val="00AF2B46"/>
    <w:rsid w:val="00AF4EDA"/>
    <w:rsid w:val="00AF545D"/>
    <w:rsid w:val="00AF56C2"/>
    <w:rsid w:val="00AF5C67"/>
    <w:rsid w:val="00B00CA7"/>
    <w:rsid w:val="00B051EE"/>
    <w:rsid w:val="00B056B3"/>
    <w:rsid w:val="00B06291"/>
    <w:rsid w:val="00B0677D"/>
    <w:rsid w:val="00B068CE"/>
    <w:rsid w:val="00B07A8F"/>
    <w:rsid w:val="00B10E17"/>
    <w:rsid w:val="00B13080"/>
    <w:rsid w:val="00B168DC"/>
    <w:rsid w:val="00B16A19"/>
    <w:rsid w:val="00B16F46"/>
    <w:rsid w:val="00B1726A"/>
    <w:rsid w:val="00B174F9"/>
    <w:rsid w:val="00B21E54"/>
    <w:rsid w:val="00B22BD9"/>
    <w:rsid w:val="00B22FD9"/>
    <w:rsid w:val="00B22FEE"/>
    <w:rsid w:val="00B23427"/>
    <w:rsid w:val="00B23B65"/>
    <w:rsid w:val="00B24E7B"/>
    <w:rsid w:val="00B262D0"/>
    <w:rsid w:val="00B26BF0"/>
    <w:rsid w:val="00B26C5C"/>
    <w:rsid w:val="00B26C88"/>
    <w:rsid w:val="00B27A3F"/>
    <w:rsid w:val="00B300D3"/>
    <w:rsid w:val="00B30B50"/>
    <w:rsid w:val="00B30F39"/>
    <w:rsid w:val="00B31561"/>
    <w:rsid w:val="00B318BB"/>
    <w:rsid w:val="00B3216C"/>
    <w:rsid w:val="00B325C7"/>
    <w:rsid w:val="00B32C5B"/>
    <w:rsid w:val="00B32E4F"/>
    <w:rsid w:val="00B335FA"/>
    <w:rsid w:val="00B33DC9"/>
    <w:rsid w:val="00B34351"/>
    <w:rsid w:val="00B3516F"/>
    <w:rsid w:val="00B365B3"/>
    <w:rsid w:val="00B40021"/>
    <w:rsid w:val="00B438B7"/>
    <w:rsid w:val="00B4662A"/>
    <w:rsid w:val="00B4669C"/>
    <w:rsid w:val="00B46ED4"/>
    <w:rsid w:val="00B47D81"/>
    <w:rsid w:val="00B502E1"/>
    <w:rsid w:val="00B506BF"/>
    <w:rsid w:val="00B50B96"/>
    <w:rsid w:val="00B51A46"/>
    <w:rsid w:val="00B51E1A"/>
    <w:rsid w:val="00B52CAA"/>
    <w:rsid w:val="00B53028"/>
    <w:rsid w:val="00B53D65"/>
    <w:rsid w:val="00B54B2B"/>
    <w:rsid w:val="00B5540E"/>
    <w:rsid w:val="00B55914"/>
    <w:rsid w:val="00B55B88"/>
    <w:rsid w:val="00B565A7"/>
    <w:rsid w:val="00B567D0"/>
    <w:rsid w:val="00B609E4"/>
    <w:rsid w:val="00B61A2A"/>
    <w:rsid w:val="00B63AF8"/>
    <w:rsid w:val="00B64E56"/>
    <w:rsid w:val="00B65D94"/>
    <w:rsid w:val="00B6754A"/>
    <w:rsid w:val="00B679CB"/>
    <w:rsid w:val="00B70DD4"/>
    <w:rsid w:val="00B72DDB"/>
    <w:rsid w:val="00B74B5E"/>
    <w:rsid w:val="00B74DD1"/>
    <w:rsid w:val="00B7683E"/>
    <w:rsid w:val="00B768F9"/>
    <w:rsid w:val="00B76D69"/>
    <w:rsid w:val="00B80276"/>
    <w:rsid w:val="00B80378"/>
    <w:rsid w:val="00B80892"/>
    <w:rsid w:val="00B80A07"/>
    <w:rsid w:val="00B8184F"/>
    <w:rsid w:val="00B82126"/>
    <w:rsid w:val="00B82317"/>
    <w:rsid w:val="00B83A39"/>
    <w:rsid w:val="00B84806"/>
    <w:rsid w:val="00B8494A"/>
    <w:rsid w:val="00B84F61"/>
    <w:rsid w:val="00B85BD8"/>
    <w:rsid w:val="00B8605C"/>
    <w:rsid w:val="00B86574"/>
    <w:rsid w:val="00B86E80"/>
    <w:rsid w:val="00B874AE"/>
    <w:rsid w:val="00B90D0C"/>
    <w:rsid w:val="00B916E7"/>
    <w:rsid w:val="00B91FA9"/>
    <w:rsid w:val="00B9264F"/>
    <w:rsid w:val="00B92B59"/>
    <w:rsid w:val="00B92F83"/>
    <w:rsid w:val="00B9337A"/>
    <w:rsid w:val="00B95A1F"/>
    <w:rsid w:val="00B95AC0"/>
    <w:rsid w:val="00B9736B"/>
    <w:rsid w:val="00B977A2"/>
    <w:rsid w:val="00B97D0A"/>
    <w:rsid w:val="00BA1B03"/>
    <w:rsid w:val="00BA21AC"/>
    <w:rsid w:val="00BA346D"/>
    <w:rsid w:val="00BA38BB"/>
    <w:rsid w:val="00BA3EE5"/>
    <w:rsid w:val="00BA3F0D"/>
    <w:rsid w:val="00BA45BD"/>
    <w:rsid w:val="00BA5ACF"/>
    <w:rsid w:val="00BA6493"/>
    <w:rsid w:val="00BA6E8E"/>
    <w:rsid w:val="00BA71BF"/>
    <w:rsid w:val="00BA7624"/>
    <w:rsid w:val="00BB02B7"/>
    <w:rsid w:val="00BB07BA"/>
    <w:rsid w:val="00BB10A1"/>
    <w:rsid w:val="00BB154B"/>
    <w:rsid w:val="00BB16E4"/>
    <w:rsid w:val="00BB175A"/>
    <w:rsid w:val="00BB3065"/>
    <w:rsid w:val="00BB458D"/>
    <w:rsid w:val="00BB4D13"/>
    <w:rsid w:val="00BB542F"/>
    <w:rsid w:val="00BB5DD3"/>
    <w:rsid w:val="00BB7587"/>
    <w:rsid w:val="00BB7B72"/>
    <w:rsid w:val="00BC03ED"/>
    <w:rsid w:val="00BC0AC1"/>
    <w:rsid w:val="00BC0E04"/>
    <w:rsid w:val="00BC2817"/>
    <w:rsid w:val="00BC2A52"/>
    <w:rsid w:val="00BC2A70"/>
    <w:rsid w:val="00BC3845"/>
    <w:rsid w:val="00BC3B28"/>
    <w:rsid w:val="00BC3E00"/>
    <w:rsid w:val="00BC501E"/>
    <w:rsid w:val="00BC56A3"/>
    <w:rsid w:val="00BC6831"/>
    <w:rsid w:val="00BC7F91"/>
    <w:rsid w:val="00BD01E1"/>
    <w:rsid w:val="00BD064D"/>
    <w:rsid w:val="00BD06EC"/>
    <w:rsid w:val="00BD0C2A"/>
    <w:rsid w:val="00BD1055"/>
    <w:rsid w:val="00BD1713"/>
    <w:rsid w:val="00BD1D02"/>
    <w:rsid w:val="00BD229C"/>
    <w:rsid w:val="00BD2B2B"/>
    <w:rsid w:val="00BD3159"/>
    <w:rsid w:val="00BD32F4"/>
    <w:rsid w:val="00BD45FE"/>
    <w:rsid w:val="00BD5015"/>
    <w:rsid w:val="00BD6459"/>
    <w:rsid w:val="00BE0070"/>
    <w:rsid w:val="00BE01AC"/>
    <w:rsid w:val="00BE0CEC"/>
    <w:rsid w:val="00BE37D3"/>
    <w:rsid w:val="00BE3C85"/>
    <w:rsid w:val="00BE4E74"/>
    <w:rsid w:val="00BE5370"/>
    <w:rsid w:val="00BE5739"/>
    <w:rsid w:val="00BE5887"/>
    <w:rsid w:val="00BE646A"/>
    <w:rsid w:val="00BE6966"/>
    <w:rsid w:val="00BE6C19"/>
    <w:rsid w:val="00BF02D2"/>
    <w:rsid w:val="00BF185A"/>
    <w:rsid w:val="00BF1A7B"/>
    <w:rsid w:val="00BF1FD1"/>
    <w:rsid w:val="00BF232C"/>
    <w:rsid w:val="00BF29B1"/>
    <w:rsid w:val="00BF2AEE"/>
    <w:rsid w:val="00BF3208"/>
    <w:rsid w:val="00BF4560"/>
    <w:rsid w:val="00BF4A0E"/>
    <w:rsid w:val="00BF58A7"/>
    <w:rsid w:val="00BF5B36"/>
    <w:rsid w:val="00BF6A8D"/>
    <w:rsid w:val="00C00BDB"/>
    <w:rsid w:val="00C03373"/>
    <w:rsid w:val="00C0408E"/>
    <w:rsid w:val="00C0494C"/>
    <w:rsid w:val="00C07981"/>
    <w:rsid w:val="00C10186"/>
    <w:rsid w:val="00C108C1"/>
    <w:rsid w:val="00C12242"/>
    <w:rsid w:val="00C13795"/>
    <w:rsid w:val="00C14093"/>
    <w:rsid w:val="00C145A6"/>
    <w:rsid w:val="00C146F4"/>
    <w:rsid w:val="00C14E74"/>
    <w:rsid w:val="00C15710"/>
    <w:rsid w:val="00C16188"/>
    <w:rsid w:val="00C16461"/>
    <w:rsid w:val="00C16F8E"/>
    <w:rsid w:val="00C17433"/>
    <w:rsid w:val="00C174AA"/>
    <w:rsid w:val="00C17821"/>
    <w:rsid w:val="00C17849"/>
    <w:rsid w:val="00C17EA5"/>
    <w:rsid w:val="00C217D7"/>
    <w:rsid w:val="00C218C0"/>
    <w:rsid w:val="00C227BE"/>
    <w:rsid w:val="00C244B8"/>
    <w:rsid w:val="00C2610C"/>
    <w:rsid w:val="00C263AC"/>
    <w:rsid w:val="00C2682E"/>
    <w:rsid w:val="00C268A2"/>
    <w:rsid w:val="00C269BB"/>
    <w:rsid w:val="00C26E19"/>
    <w:rsid w:val="00C2742F"/>
    <w:rsid w:val="00C2764F"/>
    <w:rsid w:val="00C27723"/>
    <w:rsid w:val="00C27D09"/>
    <w:rsid w:val="00C30063"/>
    <w:rsid w:val="00C30080"/>
    <w:rsid w:val="00C31315"/>
    <w:rsid w:val="00C3215C"/>
    <w:rsid w:val="00C32811"/>
    <w:rsid w:val="00C32B16"/>
    <w:rsid w:val="00C331A9"/>
    <w:rsid w:val="00C3322A"/>
    <w:rsid w:val="00C33A1E"/>
    <w:rsid w:val="00C344A1"/>
    <w:rsid w:val="00C347D3"/>
    <w:rsid w:val="00C354A9"/>
    <w:rsid w:val="00C36508"/>
    <w:rsid w:val="00C36728"/>
    <w:rsid w:val="00C36D3D"/>
    <w:rsid w:val="00C36ECE"/>
    <w:rsid w:val="00C371B4"/>
    <w:rsid w:val="00C4063D"/>
    <w:rsid w:val="00C40863"/>
    <w:rsid w:val="00C40E08"/>
    <w:rsid w:val="00C419A3"/>
    <w:rsid w:val="00C42A86"/>
    <w:rsid w:val="00C42AED"/>
    <w:rsid w:val="00C42B20"/>
    <w:rsid w:val="00C43587"/>
    <w:rsid w:val="00C44AFF"/>
    <w:rsid w:val="00C44F8B"/>
    <w:rsid w:val="00C45348"/>
    <w:rsid w:val="00C521FF"/>
    <w:rsid w:val="00C527C3"/>
    <w:rsid w:val="00C52C23"/>
    <w:rsid w:val="00C53D3B"/>
    <w:rsid w:val="00C53F90"/>
    <w:rsid w:val="00C55345"/>
    <w:rsid w:val="00C5558B"/>
    <w:rsid w:val="00C57D14"/>
    <w:rsid w:val="00C6044E"/>
    <w:rsid w:val="00C60A48"/>
    <w:rsid w:val="00C60ADB"/>
    <w:rsid w:val="00C60B13"/>
    <w:rsid w:val="00C630CB"/>
    <w:rsid w:val="00C64F4E"/>
    <w:rsid w:val="00C657F6"/>
    <w:rsid w:val="00C65CEE"/>
    <w:rsid w:val="00C70A52"/>
    <w:rsid w:val="00C70CB9"/>
    <w:rsid w:val="00C70FF6"/>
    <w:rsid w:val="00C71331"/>
    <w:rsid w:val="00C71913"/>
    <w:rsid w:val="00C71CB5"/>
    <w:rsid w:val="00C72C9F"/>
    <w:rsid w:val="00C750C8"/>
    <w:rsid w:val="00C7530C"/>
    <w:rsid w:val="00C7567C"/>
    <w:rsid w:val="00C75D71"/>
    <w:rsid w:val="00C80652"/>
    <w:rsid w:val="00C80CC0"/>
    <w:rsid w:val="00C80F48"/>
    <w:rsid w:val="00C81845"/>
    <w:rsid w:val="00C8189F"/>
    <w:rsid w:val="00C83BD7"/>
    <w:rsid w:val="00C83E6E"/>
    <w:rsid w:val="00C8495F"/>
    <w:rsid w:val="00C8527C"/>
    <w:rsid w:val="00C859B0"/>
    <w:rsid w:val="00C85AC8"/>
    <w:rsid w:val="00C85D7C"/>
    <w:rsid w:val="00C8692B"/>
    <w:rsid w:val="00C86A9C"/>
    <w:rsid w:val="00C87CE3"/>
    <w:rsid w:val="00C90BED"/>
    <w:rsid w:val="00C912C1"/>
    <w:rsid w:val="00C927C6"/>
    <w:rsid w:val="00C936F5"/>
    <w:rsid w:val="00C9385D"/>
    <w:rsid w:val="00C93C0B"/>
    <w:rsid w:val="00C94087"/>
    <w:rsid w:val="00C952AB"/>
    <w:rsid w:val="00C95DC9"/>
    <w:rsid w:val="00C96400"/>
    <w:rsid w:val="00CA1EB9"/>
    <w:rsid w:val="00CA291E"/>
    <w:rsid w:val="00CA2BB1"/>
    <w:rsid w:val="00CA39D8"/>
    <w:rsid w:val="00CA6384"/>
    <w:rsid w:val="00CA6C61"/>
    <w:rsid w:val="00CB02F1"/>
    <w:rsid w:val="00CB63E2"/>
    <w:rsid w:val="00CB6818"/>
    <w:rsid w:val="00CB6E0A"/>
    <w:rsid w:val="00CB6FC5"/>
    <w:rsid w:val="00CC1227"/>
    <w:rsid w:val="00CC1286"/>
    <w:rsid w:val="00CC18A6"/>
    <w:rsid w:val="00CC250C"/>
    <w:rsid w:val="00CC2567"/>
    <w:rsid w:val="00CC2F16"/>
    <w:rsid w:val="00CC310F"/>
    <w:rsid w:val="00CD06DD"/>
    <w:rsid w:val="00CD0E40"/>
    <w:rsid w:val="00CD130F"/>
    <w:rsid w:val="00CD245B"/>
    <w:rsid w:val="00CD31DF"/>
    <w:rsid w:val="00CD3272"/>
    <w:rsid w:val="00CD32E5"/>
    <w:rsid w:val="00CD49EA"/>
    <w:rsid w:val="00CD4CB9"/>
    <w:rsid w:val="00CD4E2F"/>
    <w:rsid w:val="00CD51CC"/>
    <w:rsid w:val="00CD5462"/>
    <w:rsid w:val="00CD641B"/>
    <w:rsid w:val="00CD669D"/>
    <w:rsid w:val="00CD6CA2"/>
    <w:rsid w:val="00CD72A3"/>
    <w:rsid w:val="00CE0D33"/>
    <w:rsid w:val="00CE220F"/>
    <w:rsid w:val="00CE2454"/>
    <w:rsid w:val="00CE3813"/>
    <w:rsid w:val="00CE39CC"/>
    <w:rsid w:val="00CE5182"/>
    <w:rsid w:val="00CE5DCE"/>
    <w:rsid w:val="00CE60E8"/>
    <w:rsid w:val="00CE6783"/>
    <w:rsid w:val="00CE7316"/>
    <w:rsid w:val="00CF0AB9"/>
    <w:rsid w:val="00CF118F"/>
    <w:rsid w:val="00CF1E62"/>
    <w:rsid w:val="00CF1EA5"/>
    <w:rsid w:val="00CF22C0"/>
    <w:rsid w:val="00CF2672"/>
    <w:rsid w:val="00CF2999"/>
    <w:rsid w:val="00CF3159"/>
    <w:rsid w:val="00CF37E2"/>
    <w:rsid w:val="00CF3891"/>
    <w:rsid w:val="00CF3AAF"/>
    <w:rsid w:val="00CF3CC6"/>
    <w:rsid w:val="00CF4438"/>
    <w:rsid w:val="00CF4D1F"/>
    <w:rsid w:val="00CF4F09"/>
    <w:rsid w:val="00CF5623"/>
    <w:rsid w:val="00CF61D7"/>
    <w:rsid w:val="00CF6307"/>
    <w:rsid w:val="00CF662F"/>
    <w:rsid w:val="00CF6B10"/>
    <w:rsid w:val="00CF6DF9"/>
    <w:rsid w:val="00CF74C8"/>
    <w:rsid w:val="00CF7854"/>
    <w:rsid w:val="00CF7B98"/>
    <w:rsid w:val="00CF7CBB"/>
    <w:rsid w:val="00D0040B"/>
    <w:rsid w:val="00D00764"/>
    <w:rsid w:val="00D01487"/>
    <w:rsid w:val="00D01593"/>
    <w:rsid w:val="00D0190E"/>
    <w:rsid w:val="00D0265C"/>
    <w:rsid w:val="00D032BA"/>
    <w:rsid w:val="00D03817"/>
    <w:rsid w:val="00D03E12"/>
    <w:rsid w:val="00D04A72"/>
    <w:rsid w:val="00D052E0"/>
    <w:rsid w:val="00D0554D"/>
    <w:rsid w:val="00D05560"/>
    <w:rsid w:val="00D06B80"/>
    <w:rsid w:val="00D0754B"/>
    <w:rsid w:val="00D07D15"/>
    <w:rsid w:val="00D07D59"/>
    <w:rsid w:val="00D10126"/>
    <w:rsid w:val="00D106E9"/>
    <w:rsid w:val="00D113CB"/>
    <w:rsid w:val="00D115DE"/>
    <w:rsid w:val="00D11EDE"/>
    <w:rsid w:val="00D15412"/>
    <w:rsid w:val="00D16CD6"/>
    <w:rsid w:val="00D20A32"/>
    <w:rsid w:val="00D210F5"/>
    <w:rsid w:val="00D212D6"/>
    <w:rsid w:val="00D213EA"/>
    <w:rsid w:val="00D215DF"/>
    <w:rsid w:val="00D2295C"/>
    <w:rsid w:val="00D23C4C"/>
    <w:rsid w:val="00D25FBB"/>
    <w:rsid w:val="00D260F3"/>
    <w:rsid w:val="00D261D6"/>
    <w:rsid w:val="00D2671D"/>
    <w:rsid w:val="00D268A9"/>
    <w:rsid w:val="00D272D7"/>
    <w:rsid w:val="00D27581"/>
    <w:rsid w:val="00D27733"/>
    <w:rsid w:val="00D2777D"/>
    <w:rsid w:val="00D27798"/>
    <w:rsid w:val="00D27D27"/>
    <w:rsid w:val="00D30979"/>
    <w:rsid w:val="00D31C7D"/>
    <w:rsid w:val="00D32868"/>
    <w:rsid w:val="00D34082"/>
    <w:rsid w:val="00D3528C"/>
    <w:rsid w:val="00D353DC"/>
    <w:rsid w:val="00D367E0"/>
    <w:rsid w:val="00D37A0E"/>
    <w:rsid w:val="00D37B5D"/>
    <w:rsid w:val="00D402E2"/>
    <w:rsid w:val="00D40B5A"/>
    <w:rsid w:val="00D41418"/>
    <w:rsid w:val="00D417FF"/>
    <w:rsid w:val="00D429C7"/>
    <w:rsid w:val="00D42F9C"/>
    <w:rsid w:val="00D4373E"/>
    <w:rsid w:val="00D43A71"/>
    <w:rsid w:val="00D44565"/>
    <w:rsid w:val="00D44652"/>
    <w:rsid w:val="00D44926"/>
    <w:rsid w:val="00D45DF6"/>
    <w:rsid w:val="00D45E4B"/>
    <w:rsid w:val="00D4650D"/>
    <w:rsid w:val="00D506C6"/>
    <w:rsid w:val="00D5186F"/>
    <w:rsid w:val="00D51E78"/>
    <w:rsid w:val="00D5215F"/>
    <w:rsid w:val="00D52B3A"/>
    <w:rsid w:val="00D53684"/>
    <w:rsid w:val="00D546C9"/>
    <w:rsid w:val="00D555AD"/>
    <w:rsid w:val="00D55688"/>
    <w:rsid w:val="00D559F8"/>
    <w:rsid w:val="00D55BFA"/>
    <w:rsid w:val="00D566C7"/>
    <w:rsid w:val="00D568CF"/>
    <w:rsid w:val="00D56D37"/>
    <w:rsid w:val="00D5785E"/>
    <w:rsid w:val="00D6063C"/>
    <w:rsid w:val="00D606BE"/>
    <w:rsid w:val="00D60B74"/>
    <w:rsid w:val="00D62421"/>
    <w:rsid w:val="00D63914"/>
    <w:rsid w:val="00D639E7"/>
    <w:rsid w:val="00D6662F"/>
    <w:rsid w:val="00D66EE6"/>
    <w:rsid w:val="00D67970"/>
    <w:rsid w:val="00D70C38"/>
    <w:rsid w:val="00D72DE5"/>
    <w:rsid w:val="00D73238"/>
    <w:rsid w:val="00D73954"/>
    <w:rsid w:val="00D73B89"/>
    <w:rsid w:val="00D746A8"/>
    <w:rsid w:val="00D74FD4"/>
    <w:rsid w:val="00D75A6F"/>
    <w:rsid w:val="00D76553"/>
    <w:rsid w:val="00D76B6B"/>
    <w:rsid w:val="00D770FC"/>
    <w:rsid w:val="00D77652"/>
    <w:rsid w:val="00D805B8"/>
    <w:rsid w:val="00D81600"/>
    <w:rsid w:val="00D82B60"/>
    <w:rsid w:val="00D83627"/>
    <w:rsid w:val="00D838A9"/>
    <w:rsid w:val="00D83A6C"/>
    <w:rsid w:val="00D843AF"/>
    <w:rsid w:val="00D85071"/>
    <w:rsid w:val="00D86456"/>
    <w:rsid w:val="00D86D9F"/>
    <w:rsid w:val="00D87F03"/>
    <w:rsid w:val="00D90608"/>
    <w:rsid w:val="00D90813"/>
    <w:rsid w:val="00D90AAD"/>
    <w:rsid w:val="00D91409"/>
    <w:rsid w:val="00D9172E"/>
    <w:rsid w:val="00D917B6"/>
    <w:rsid w:val="00D91D51"/>
    <w:rsid w:val="00D91FEF"/>
    <w:rsid w:val="00D92D02"/>
    <w:rsid w:val="00D92FBA"/>
    <w:rsid w:val="00D93EDE"/>
    <w:rsid w:val="00D9550B"/>
    <w:rsid w:val="00D9567D"/>
    <w:rsid w:val="00D9584B"/>
    <w:rsid w:val="00D964E3"/>
    <w:rsid w:val="00D96739"/>
    <w:rsid w:val="00D96A8E"/>
    <w:rsid w:val="00D97516"/>
    <w:rsid w:val="00D97ECB"/>
    <w:rsid w:val="00DA08E9"/>
    <w:rsid w:val="00DA0ADA"/>
    <w:rsid w:val="00DA20BC"/>
    <w:rsid w:val="00DA2E1F"/>
    <w:rsid w:val="00DA2E9B"/>
    <w:rsid w:val="00DA2EAF"/>
    <w:rsid w:val="00DA37F5"/>
    <w:rsid w:val="00DA439E"/>
    <w:rsid w:val="00DA5C52"/>
    <w:rsid w:val="00DA614E"/>
    <w:rsid w:val="00DA768A"/>
    <w:rsid w:val="00DA78B0"/>
    <w:rsid w:val="00DB0518"/>
    <w:rsid w:val="00DB08ED"/>
    <w:rsid w:val="00DB1383"/>
    <w:rsid w:val="00DB2253"/>
    <w:rsid w:val="00DB38C1"/>
    <w:rsid w:val="00DB3E30"/>
    <w:rsid w:val="00DB42EA"/>
    <w:rsid w:val="00DB44D2"/>
    <w:rsid w:val="00DB7DA2"/>
    <w:rsid w:val="00DC0D74"/>
    <w:rsid w:val="00DC146B"/>
    <w:rsid w:val="00DC1E54"/>
    <w:rsid w:val="00DC2423"/>
    <w:rsid w:val="00DC2E74"/>
    <w:rsid w:val="00DC48D6"/>
    <w:rsid w:val="00DC5B67"/>
    <w:rsid w:val="00DC6169"/>
    <w:rsid w:val="00DC61FA"/>
    <w:rsid w:val="00DC6EC9"/>
    <w:rsid w:val="00DC7BA4"/>
    <w:rsid w:val="00DD0DDC"/>
    <w:rsid w:val="00DD0F45"/>
    <w:rsid w:val="00DD178C"/>
    <w:rsid w:val="00DD2AE3"/>
    <w:rsid w:val="00DD4EB2"/>
    <w:rsid w:val="00DD58EE"/>
    <w:rsid w:val="00DD593D"/>
    <w:rsid w:val="00DD6B4C"/>
    <w:rsid w:val="00DD70A7"/>
    <w:rsid w:val="00DD7332"/>
    <w:rsid w:val="00DD73AE"/>
    <w:rsid w:val="00DE1B09"/>
    <w:rsid w:val="00DE202C"/>
    <w:rsid w:val="00DE29ED"/>
    <w:rsid w:val="00DE2CAD"/>
    <w:rsid w:val="00DE3098"/>
    <w:rsid w:val="00DE5E7E"/>
    <w:rsid w:val="00DE73B8"/>
    <w:rsid w:val="00DF0334"/>
    <w:rsid w:val="00DF0D81"/>
    <w:rsid w:val="00DF0E22"/>
    <w:rsid w:val="00DF15B5"/>
    <w:rsid w:val="00DF328C"/>
    <w:rsid w:val="00DF637E"/>
    <w:rsid w:val="00DF6C09"/>
    <w:rsid w:val="00DF7159"/>
    <w:rsid w:val="00DF733F"/>
    <w:rsid w:val="00E000E7"/>
    <w:rsid w:val="00E011A3"/>
    <w:rsid w:val="00E014EA"/>
    <w:rsid w:val="00E014ED"/>
    <w:rsid w:val="00E0181C"/>
    <w:rsid w:val="00E019CB"/>
    <w:rsid w:val="00E021B2"/>
    <w:rsid w:val="00E0315E"/>
    <w:rsid w:val="00E04124"/>
    <w:rsid w:val="00E047CE"/>
    <w:rsid w:val="00E05A16"/>
    <w:rsid w:val="00E060FA"/>
    <w:rsid w:val="00E063AF"/>
    <w:rsid w:val="00E06735"/>
    <w:rsid w:val="00E06F25"/>
    <w:rsid w:val="00E10B17"/>
    <w:rsid w:val="00E11978"/>
    <w:rsid w:val="00E1283D"/>
    <w:rsid w:val="00E1340F"/>
    <w:rsid w:val="00E136DF"/>
    <w:rsid w:val="00E1396E"/>
    <w:rsid w:val="00E13C27"/>
    <w:rsid w:val="00E1456D"/>
    <w:rsid w:val="00E14644"/>
    <w:rsid w:val="00E14662"/>
    <w:rsid w:val="00E155C3"/>
    <w:rsid w:val="00E1616F"/>
    <w:rsid w:val="00E16237"/>
    <w:rsid w:val="00E16D7F"/>
    <w:rsid w:val="00E1790F"/>
    <w:rsid w:val="00E214B6"/>
    <w:rsid w:val="00E21DB5"/>
    <w:rsid w:val="00E22BCF"/>
    <w:rsid w:val="00E24766"/>
    <w:rsid w:val="00E276E6"/>
    <w:rsid w:val="00E30779"/>
    <w:rsid w:val="00E30822"/>
    <w:rsid w:val="00E31197"/>
    <w:rsid w:val="00E318FB"/>
    <w:rsid w:val="00E324AC"/>
    <w:rsid w:val="00E32A0A"/>
    <w:rsid w:val="00E332AD"/>
    <w:rsid w:val="00E342F0"/>
    <w:rsid w:val="00E35483"/>
    <w:rsid w:val="00E35FFC"/>
    <w:rsid w:val="00E40DD2"/>
    <w:rsid w:val="00E40F34"/>
    <w:rsid w:val="00E413E9"/>
    <w:rsid w:val="00E41EFA"/>
    <w:rsid w:val="00E42B30"/>
    <w:rsid w:val="00E440D4"/>
    <w:rsid w:val="00E44328"/>
    <w:rsid w:val="00E44A05"/>
    <w:rsid w:val="00E44C27"/>
    <w:rsid w:val="00E4567E"/>
    <w:rsid w:val="00E46869"/>
    <w:rsid w:val="00E46FD9"/>
    <w:rsid w:val="00E47C99"/>
    <w:rsid w:val="00E50481"/>
    <w:rsid w:val="00E50C53"/>
    <w:rsid w:val="00E5151C"/>
    <w:rsid w:val="00E51E85"/>
    <w:rsid w:val="00E52FF1"/>
    <w:rsid w:val="00E53D53"/>
    <w:rsid w:val="00E53D59"/>
    <w:rsid w:val="00E54DC7"/>
    <w:rsid w:val="00E55F1D"/>
    <w:rsid w:val="00E563CD"/>
    <w:rsid w:val="00E572ED"/>
    <w:rsid w:val="00E575FC"/>
    <w:rsid w:val="00E60BCA"/>
    <w:rsid w:val="00E613CF"/>
    <w:rsid w:val="00E61E12"/>
    <w:rsid w:val="00E62D1B"/>
    <w:rsid w:val="00E62F5C"/>
    <w:rsid w:val="00E6330D"/>
    <w:rsid w:val="00E63AF2"/>
    <w:rsid w:val="00E63BA6"/>
    <w:rsid w:val="00E64073"/>
    <w:rsid w:val="00E646A4"/>
    <w:rsid w:val="00E648BC"/>
    <w:rsid w:val="00E66099"/>
    <w:rsid w:val="00E66491"/>
    <w:rsid w:val="00E66CE0"/>
    <w:rsid w:val="00E67415"/>
    <w:rsid w:val="00E67A85"/>
    <w:rsid w:val="00E710A0"/>
    <w:rsid w:val="00E721FA"/>
    <w:rsid w:val="00E72AFC"/>
    <w:rsid w:val="00E7600A"/>
    <w:rsid w:val="00E76C51"/>
    <w:rsid w:val="00E80FD0"/>
    <w:rsid w:val="00E819BA"/>
    <w:rsid w:val="00E822DF"/>
    <w:rsid w:val="00E83402"/>
    <w:rsid w:val="00E84813"/>
    <w:rsid w:val="00E8627B"/>
    <w:rsid w:val="00E9029C"/>
    <w:rsid w:val="00E910B7"/>
    <w:rsid w:val="00E91472"/>
    <w:rsid w:val="00E936AA"/>
    <w:rsid w:val="00E93993"/>
    <w:rsid w:val="00E93DB5"/>
    <w:rsid w:val="00E93E38"/>
    <w:rsid w:val="00E93EC8"/>
    <w:rsid w:val="00E959A2"/>
    <w:rsid w:val="00E95B99"/>
    <w:rsid w:val="00E95E77"/>
    <w:rsid w:val="00E97269"/>
    <w:rsid w:val="00EA0E81"/>
    <w:rsid w:val="00EA1444"/>
    <w:rsid w:val="00EA23B2"/>
    <w:rsid w:val="00EA4350"/>
    <w:rsid w:val="00EA54B6"/>
    <w:rsid w:val="00EA626E"/>
    <w:rsid w:val="00EA6D91"/>
    <w:rsid w:val="00EB0B67"/>
    <w:rsid w:val="00EB1A42"/>
    <w:rsid w:val="00EB2A1A"/>
    <w:rsid w:val="00EB2AE7"/>
    <w:rsid w:val="00EB2FCA"/>
    <w:rsid w:val="00EB3078"/>
    <w:rsid w:val="00EB3EE8"/>
    <w:rsid w:val="00EB5E20"/>
    <w:rsid w:val="00EB65B6"/>
    <w:rsid w:val="00EB6B80"/>
    <w:rsid w:val="00EB70E4"/>
    <w:rsid w:val="00EB72D5"/>
    <w:rsid w:val="00EB7E3E"/>
    <w:rsid w:val="00EC147B"/>
    <w:rsid w:val="00EC172A"/>
    <w:rsid w:val="00EC317D"/>
    <w:rsid w:val="00EC3564"/>
    <w:rsid w:val="00EC4333"/>
    <w:rsid w:val="00EC46D1"/>
    <w:rsid w:val="00EC543C"/>
    <w:rsid w:val="00EC606E"/>
    <w:rsid w:val="00EC6580"/>
    <w:rsid w:val="00EC6D84"/>
    <w:rsid w:val="00EC704D"/>
    <w:rsid w:val="00EC7AA3"/>
    <w:rsid w:val="00ED06E5"/>
    <w:rsid w:val="00ED081E"/>
    <w:rsid w:val="00ED2957"/>
    <w:rsid w:val="00ED2E88"/>
    <w:rsid w:val="00ED35D0"/>
    <w:rsid w:val="00ED3901"/>
    <w:rsid w:val="00ED52EF"/>
    <w:rsid w:val="00ED5485"/>
    <w:rsid w:val="00ED5B3D"/>
    <w:rsid w:val="00ED620C"/>
    <w:rsid w:val="00ED648D"/>
    <w:rsid w:val="00ED7C01"/>
    <w:rsid w:val="00EE0028"/>
    <w:rsid w:val="00EE0702"/>
    <w:rsid w:val="00EE1DF2"/>
    <w:rsid w:val="00EE3599"/>
    <w:rsid w:val="00EE3973"/>
    <w:rsid w:val="00EE3C9C"/>
    <w:rsid w:val="00EE3EFB"/>
    <w:rsid w:val="00EE4DD4"/>
    <w:rsid w:val="00EE53F5"/>
    <w:rsid w:val="00EE637E"/>
    <w:rsid w:val="00EE7B14"/>
    <w:rsid w:val="00EE7CB8"/>
    <w:rsid w:val="00EF07E1"/>
    <w:rsid w:val="00EF1921"/>
    <w:rsid w:val="00EF1E63"/>
    <w:rsid w:val="00EF38A2"/>
    <w:rsid w:val="00EF3C0A"/>
    <w:rsid w:val="00EF4F2E"/>
    <w:rsid w:val="00EF66C8"/>
    <w:rsid w:val="00F00357"/>
    <w:rsid w:val="00F01B2E"/>
    <w:rsid w:val="00F01C05"/>
    <w:rsid w:val="00F0254A"/>
    <w:rsid w:val="00F02B60"/>
    <w:rsid w:val="00F0307F"/>
    <w:rsid w:val="00F03501"/>
    <w:rsid w:val="00F037A8"/>
    <w:rsid w:val="00F03D0E"/>
    <w:rsid w:val="00F05138"/>
    <w:rsid w:val="00F0519F"/>
    <w:rsid w:val="00F05798"/>
    <w:rsid w:val="00F059A1"/>
    <w:rsid w:val="00F060B8"/>
    <w:rsid w:val="00F07CBD"/>
    <w:rsid w:val="00F07EA8"/>
    <w:rsid w:val="00F1091E"/>
    <w:rsid w:val="00F10BC6"/>
    <w:rsid w:val="00F11B4D"/>
    <w:rsid w:val="00F15F16"/>
    <w:rsid w:val="00F167F3"/>
    <w:rsid w:val="00F17462"/>
    <w:rsid w:val="00F178DF"/>
    <w:rsid w:val="00F20629"/>
    <w:rsid w:val="00F20648"/>
    <w:rsid w:val="00F21CF1"/>
    <w:rsid w:val="00F21D60"/>
    <w:rsid w:val="00F22531"/>
    <w:rsid w:val="00F26302"/>
    <w:rsid w:val="00F2652B"/>
    <w:rsid w:val="00F26638"/>
    <w:rsid w:val="00F26D49"/>
    <w:rsid w:val="00F27395"/>
    <w:rsid w:val="00F30004"/>
    <w:rsid w:val="00F3044D"/>
    <w:rsid w:val="00F306C3"/>
    <w:rsid w:val="00F3080E"/>
    <w:rsid w:val="00F3091D"/>
    <w:rsid w:val="00F30C09"/>
    <w:rsid w:val="00F322BD"/>
    <w:rsid w:val="00F32CCD"/>
    <w:rsid w:val="00F333E1"/>
    <w:rsid w:val="00F3364D"/>
    <w:rsid w:val="00F336F9"/>
    <w:rsid w:val="00F34514"/>
    <w:rsid w:val="00F3456F"/>
    <w:rsid w:val="00F359C2"/>
    <w:rsid w:val="00F3652E"/>
    <w:rsid w:val="00F37314"/>
    <w:rsid w:val="00F37F20"/>
    <w:rsid w:val="00F37F8D"/>
    <w:rsid w:val="00F4005D"/>
    <w:rsid w:val="00F410E1"/>
    <w:rsid w:val="00F41B11"/>
    <w:rsid w:val="00F42DE4"/>
    <w:rsid w:val="00F432EE"/>
    <w:rsid w:val="00F43569"/>
    <w:rsid w:val="00F43D3E"/>
    <w:rsid w:val="00F43F60"/>
    <w:rsid w:val="00F45454"/>
    <w:rsid w:val="00F50FC6"/>
    <w:rsid w:val="00F544B3"/>
    <w:rsid w:val="00F55BFD"/>
    <w:rsid w:val="00F57179"/>
    <w:rsid w:val="00F57546"/>
    <w:rsid w:val="00F57696"/>
    <w:rsid w:val="00F57DFF"/>
    <w:rsid w:val="00F6018C"/>
    <w:rsid w:val="00F60EB4"/>
    <w:rsid w:val="00F61419"/>
    <w:rsid w:val="00F62125"/>
    <w:rsid w:val="00F62CD6"/>
    <w:rsid w:val="00F62F7C"/>
    <w:rsid w:val="00F631FA"/>
    <w:rsid w:val="00F64C05"/>
    <w:rsid w:val="00F65209"/>
    <w:rsid w:val="00F65382"/>
    <w:rsid w:val="00F653AC"/>
    <w:rsid w:val="00F6625C"/>
    <w:rsid w:val="00F6640A"/>
    <w:rsid w:val="00F672F0"/>
    <w:rsid w:val="00F67B03"/>
    <w:rsid w:val="00F67CBF"/>
    <w:rsid w:val="00F7098F"/>
    <w:rsid w:val="00F71E12"/>
    <w:rsid w:val="00F72215"/>
    <w:rsid w:val="00F73009"/>
    <w:rsid w:val="00F73DF3"/>
    <w:rsid w:val="00F74F5D"/>
    <w:rsid w:val="00F7565F"/>
    <w:rsid w:val="00F76E8A"/>
    <w:rsid w:val="00F772D9"/>
    <w:rsid w:val="00F774F9"/>
    <w:rsid w:val="00F801E8"/>
    <w:rsid w:val="00F81492"/>
    <w:rsid w:val="00F81F88"/>
    <w:rsid w:val="00F8226F"/>
    <w:rsid w:val="00F835CE"/>
    <w:rsid w:val="00F83703"/>
    <w:rsid w:val="00F8495F"/>
    <w:rsid w:val="00F85778"/>
    <w:rsid w:val="00F85AED"/>
    <w:rsid w:val="00F8690D"/>
    <w:rsid w:val="00F86946"/>
    <w:rsid w:val="00F87BAC"/>
    <w:rsid w:val="00F9024A"/>
    <w:rsid w:val="00F911B9"/>
    <w:rsid w:val="00F91C98"/>
    <w:rsid w:val="00F92976"/>
    <w:rsid w:val="00F92B64"/>
    <w:rsid w:val="00F94FF6"/>
    <w:rsid w:val="00F96BAA"/>
    <w:rsid w:val="00F9785D"/>
    <w:rsid w:val="00FA0317"/>
    <w:rsid w:val="00FA0AE5"/>
    <w:rsid w:val="00FA1757"/>
    <w:rsid w:val="00FA191E"/>
    <w:rsid w:val="00FA2CF5"/>
    <w:rsid w:val="00FA2EA9"/>
    <w:rsid w:val="00FA3E30"/>
    <w:rsid w:val="00FA427F"/>
    <w:rsid w:val="00FA72E2"/>
    <w:rsid w:val="00FA7FDF"/>
    <w:rsid w:val="00FB068C"/>
    <w:rsid w:val="00FB088A"/>
    <w:rsid w:val="00FB0C50"/>
    <w:rsid w:val="00FB0E6A"/>
    <w:rsid w:val="00FB163A"/>
    <w:rsid w:val="00FB1D3B"/>
    <w:rsid w:val="00FB23CA"/>
    <w:rsid w:val="00FB35CE"/>
    <w:rsid w:val="00FB4ED3"/>
    <w:rsid w:val="00FB55A5"/>
    <w:rsid w:val="00FB5846"/>
    <w:rsid w:val="00FB722E"/>
    <w:rsid w:val="00FB7762"/>
    <w:rsid w:val="00FC0B12"/>
    <w:rsid w:val="00FC0B3A"/>
    <w:rsid w:val="00FC0FD1"/>
    <w:rsid w:val="00FC241C"/>
    <w:rsid w:val="00FC3786"/>
    <w:rsid w:val="00FC3941"/>
    <w:rsid w:val="00FC3D28"/>
    <w:rsid w:val="00FC53A9"/>
    <w:rsid w:val="00FC5459"/>
    <w:rsid w:val="00FC5823"/>
    <w:rsid w:val="00FC5BBB"/>
    <w:rsid w:val="00FC5E76"/>
    <w:rsid w:val="00FC6A7B"/>
    <w:rsid w:val="00FC7CE1"/>
    <w:rsid w:val="00FD1D59"/>
    <w:rsid w:val="00FD1F5F"/>
    <w:rsid w:val="00FD20F7"/>
    <w:rsid w:val="00FD22B4"/>
    <w:rsid w:val="00FD39DE"/>
    <w:rsid w:val="00FD3B98"/>
    <w:rsid w:val="00FD47D7"/>
    <w:rsid w:val="00FD5287"/>
    <w:rsid w:val="00FD5985"/>
    <w:rsid w:val="00FD59EF"/>
    <w:rsid w:val="00FD5C58"/>
    <w:rsid w:val="00FD5C88"/>
    <w:rsid w:val="00FD6545"/>
    <w:rsid w:val="00FE079E"/>
    <w:rsid w:val="00FE0F39"/>
    <w:rsid w:val="00FE0FB1"/>
    <w:rsid w:val="00FE1694"/>
    <w:rsid w:val="00FE16B8"/>
    <w:rsid w:val="00FE287E"/>
    <w:rsid w:val="00FE3B04"/>
    <w:rsid w:val="00FE4E2B"/>
    <w:rsid w:val="00FE546F"/>
    <w:rsid w:val="00FE5952"/>
    <w:rsid w:val="00FE5FA1"/>
    <w:rsid w:val="00FE60F4"/>
    <w:rsid w:val="00FE746F"/>
    <w:rsid w:val="00FE7EE9"/>
    <w:rsid w:val="00FF03A6"/>
    <w:rsid w:val="00FF0601"/>
    <w:rsid w:val="00FF093F"/>
    <w:rsid w:val="00FF20D3"/>
    <w:rsid w:val="00FF2754"/>
    <w:rsid w:val="00FF42BD"/>
    <w:rsid w:val="00FF43E8"/>
    <w:rsid w:val="00FF5317"/>
    <w:rsid w:val="00FF53F2"/>
    <w:rsid w:val="00FF57F8"/>
    <w:rsid w:val="013B708D"/>
    <w:rsid w:val="015DF237"/>
    <w:rsid w:val="0588681E"/>
    <w:rsid w:val="092E100F"/>
    <w:rsid w:val="098F37EF"/>
    <w:rsid w:val="0A753026"/>
    <w:rsid w:val="0B5495AD"/>
    <w:rsid w:val="0E5E184C"/>
    <w:rsid w:val="118A2AA9"/>
    <w:rsid w:val="13036B43"/>
    <w:rsid w:val="197745FB"/>
    <w:rsid w:val="1B2F5991"/>
    <w:rsid w:val="1C70EB3C"/>
    <w:rsid w:val="1C9C19C3"/>
    <w:rsid w:val="1DDF8EED"/>
    <w:rsid w:val="203AB12E"/>
    <w:rsid w:val="289FBA7A"/>
    <w:rsid w:val="28FB6501"/>
    <w:rsid w:val="2F112D09"/>
    <w:rsid w:val="2FC8C84A"/>
    <w:rsid w:val="3018862F"/>
    <w:rsid w:val="33362299"/>
    <w:rsid w:val="344614C8"/>
    <w:rsid w:val="34E3045B"/>
    <w:rsid w:val="386FCBDB"/>
    <w:rsid w:val="39DD109E"/>
    <w:rsid w:val="3A896EAF"/>
    <w:rsid w:val="42283C8D"/>
    <w:rsid w:val="439556A5"/>
    <w:rsid w:val="46101831"/>
    <w:rsid w:val="4825E76A"/>
    <w:rsid w:val="48CB2FD4"/>
    <w:rsid w:val="49D31624"/>
    <w:rsid w:val="4AA34F90"/>
    <w:rsid w:val="4B9DC68C"/>
    <w:rsid w:val="4EA8532D"/>
    <w:rsid w:val="538EA492"/>
    <w:rsid w:val="558FBC45"/>
    <w:rsid w:val="55D60277"/>
    <w:rsid w:val="5771D2D8"/>
    <w:rsid w:val="5A0614D5"/>
    <w:rsid w:val="5A667589"/>
    <w:rsid w:val="5B0BDCE8"/>
    <w:rsid w:val="5C7465A9"/>
    <w:rsid w:val="5D4AE2D4"/>
    <w:rsid w:val="5D71AA21"/>
    <w:rsid w:val="62A3EC19"/>
    <w:rsid w:val="64188E44"/>
    <w:rsid w:val="6784FB42"/>
    <w:rsid w:val="68071717"/>
    <w:rsid w:val="6980625C"/>
    <w:rsid w:val="6AA5A5B9"/>
    <w:rsid w:val="6CFEDCD7"/>
    <w:rsid w:val="6D36025B"/>
    <w:rsid w:val="6D775553"/>
    <w:rsid w:val="70732022"/>
    <w:rsid w:val="751C5261"/>
    <w:rsid w:val="75468D32"/>
    <w:rsid w:val="756015C3"/>
    <w:rsid w:val="7A1EF4CB"/>
    <w:rsid w:val="7F8F0DF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C3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7656"/>
    <w:pPr>
      <w:tabs>
        <w:tab w:val="left" w:pos="880"/>
        <w:tab w:val="right" w:leader="dot" w:pos="8302"/>
      </w:tabs>
      <w:spacing w:after="100"/>
      <w:ind w:left="240"/>
    </w:pPr>
    <w:rPr>
      <w:rFonts w:ascii="Arial" w:hAnsi="Arial" w:cs="Arial"/>
      <w:noProof/>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9330A0"/>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CD06DD"/>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qFormat/>
    <w:rsid w:val="00140015"/>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semiHidden/>
    <w:unhideWhenUsed/>
    <w:rsid w:val="0086314F"/>
    <w:pPr>
      <w:spacing w:after="100"/>
      <w:ind w:left="720"/>
    </w:pPr>
  </w:style>
  <w:style w:type="table" w:customStyle="1" w:styleId="TableGrid1">
    <w:name w:val="Table Grid1"/>
    <w:basedOn w:val="TableNormal"/>
    <w:next w:val="TableGrid"/>
    <w:uiPriority w:val="59"/>
    <w:rsid w:val="0086314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3BF1"/>
    <w:rPr>
      <w:color w:val="808080"/>
      <w:shd w:val="clear" w:color="auto" w:fill="E6E6E6"/>
    </w:rPr>
  </w:style>
  <w:style w:type="character" w:customStyle="1" w:styleId="UnresolvedMention2">
    <w:name w:val="Unresolved Mention2"/>
    <w:basedOn w:val="DefaultParagraphFont"/>
    <w:uiPriority w:val="99"/>
    <w:semiHidden/>
    <w:unhideWhenUsed/>
    <w:rsid w:val="00FF093F"/>
    <w:rPr>
      <w:color w:val="808080"/>
      <w:shd w:val="clear" w:color="auto" w:fill="E6E6E6"/>
    </w:rPr>
  </w:style>
  <w:style w:type="character" w:customStyle="1" w:styleId="UnresolvedMention3">
    <w:name w:val="Unresolved Mention3"/>
    <w:basedOn w:val="DefaultParagraphFont"/>
    <w:uiPriority w:val="99"/>
    <w:semiHidden/>
    <w:unhideWhenUsed/>
    <w:rsid w:val="003C14C6"/>
    <w:rPr>
      <w:color w:val="808080"/>
      <w:shd w:val="clear" w:color="auto" w:fill="E6E6E6"/>
    </w:rPr>
  </w:style>
  <w:style w:type="character" w:styleId="FootnoteReference">
    <w:name w:val="footnote reference"/>
    <w:basedOn w:val="DefaultParagraphFont"/>
    <w:uiPriority w:val="99"/>
    <w:unhideWhenUsed/>
    <w:rsid w:val="00076944"/>
    <w:rPr>
      <w:vertAlign w:val="superscript"/>
    </w:rPr>
  </w:style>
  <w:style w:type="table" w:customStyle="1" w:styleId="TableGrid2">
    <w:name w:val="Table Grid2"/>
    <w:basedOn w:val="TableNormal"/>
    <w:next w:val="TableGrid"/>
    <w:uiPriority w:val="39"/>
    <w:rsid w:val="00EE1DF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B1D05"/>
    <w:rPr>
      <w:color w:val="605E5C"/>
      <w:shd w:val="clear" w:color="auto" w:fill="E1DFDD"/>
    </w:rPr>
  </w:style>
  <w:style w:type="table" w:customStyle="1" w:styleId="TableGrid3">
    <w:name w:val="Table Grid3"/>
    <w:basedOn w:val="TableNormal"/>
    <w:uiPriority w:val="39"/>
    <w:rsid w:val="00AB3192"/>
    <w:pPr>
      <w:spacing w:after="0"/>
    </w:pPr>
    <w:rPr>
      <w:rFonts w:ascii="Times New Roman" w:eastAsia="Times New Roman" w:hAnsi="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00672"/>
    <w:rPr>
      <w:color w:val="605E5C"/>
      <w:shd w:val="clear" w:color="auto" w:fill="E1DFDD"/>
    </w:rPr>
  </w:style>
  <w:style w:type="character" w:styleId="UnresolvedMention">
    <w:name w:val="Unresolved Mention"/>
    <w:basedOn w:val="DefaultParagraphFont"/>
    <w:uiPriority w:val="99"/>
    <w:semiHidden/>
    <w:unhideWhenUsed/>
    <w:rsid w:val="000E3586"/>
    <w:rPr>
      <w:color w:val="605E5C"/>
      <w:shd w:val="clear" w:color="auto" w:fill="E1DFDD"/>
    </w:rPr>
  </w:style>
  <w:style w:type="paragraph" w:customStyle="1" w:styleId="TGparagraphs">
    <w:name w:val="TG paragraphs"/>
    <w:basedOn w:val="ListParagraph"/>
    <w:link w:val="TGparagraphsChar"/>
    <w:qFormat/>
    <w:rsid w:val="00CE5DCE"/>
    <w:pPr>
      <w:numPr>
        <w:ilvl w:val="1"/>
        <w:numId w:val="14"/>
      </w:numPr>
      <w:contextualSpacing/>
    </w:pPr>
    <w:rPr>
      <w:rFonts w:ascii="Arial" w:hAnsi="Arial" w:cs="Arial"/>
      <w:bCs/>
      <w:lang w:eastAsia="en-US"/>
    </w:rPr>
  </w:style>
  <w:style w:type="character" w:customStyle="1" w:styleId="TGparagraphsChar">
    <w:name w:val="TG paragraphs Char"/>
    <w:basedOn w:val="DefaultParagraphFont"/>
    <w:link w:val="TGparagraphs"/>
    <w:rsid w:val="00CE5DCE"/>
    <w:rPr>
      <w:rFonts w:ascii="Arial" w:eastAsia="Times New Roman" w:hAnsi="Arial" w:cs="Arial"/>
      <w:bCs/>
      <w:sz w:val="24"/>
      <w:szCs w:val="24"/>
      <w:lang w:eastAsia="en-US"/>
    </w:rPr>
  </w:style>
  <w:style w:type="character" w:customStyle="1" w:styleId="normaltextrun">
    <w:name w:val="normaltextrun"/>
    <w:basedOn w:val="DefaultParagraphFont"/>
    <w:rsid w:val="005D64C6"/>
  </w:style>
  <w:style w:type="character" w:styleId="PlaceholderText">
    <w:name w:val="Placeholder Text"/>
    <w:basedOn w:val="DefaultParagraphFont"/>
    <w:uiPriority w:val="99"/>
    <w:semiHidden/>
    <w:rsid w:val="0000093D"/>
    <w:rPr>
      <w:color w:val="auto"/>
      <w:bdr w:val="none" w:sz="0" w:space="0" w:color="auto"/>
      <w:shd w:val="clear" w:color="auto" w:fill="FFFF00"/>
    </w:rPr>
  </w:style>
  <w:style w:type="paragraph" w:customStyle="1" w:styleId="Classification">
    <w:name w:val="Classification"/>
    <w:basedOn w:val="Normal"/>
    <w:uiPriority w:val="99"/>
    <w:semiHidden/>
    <w:rsid w:val="0000093D"/>
    <w:pPr>
      <w:spacing w:after="0"/>
    </w:pPr>
    <w:rPr>
      <w:rFonts w:ascii="Arial" w:eastAsiaTheme="minorHAnsi" w:hAnsi="Arial"/>
      <w:color w:val="768692"/>
      <w:szCs w:val="24"/>
      <w:lang w:val="en-GB" w:eastAsia="en-US"/>
    </w:rPr>
  </w:style>
  <w:style w:type="paragraph" w:customStyle="1" w:styleId="BackPage">
    <w:name w:val="Back Page"/>
    <w:basedOn w:val="Normal"/>
    <w:uiPriority w:val="99"/>
    <w:rsid w:val="0027414A"/>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9B0671"/>
    <w:rPr>
      <w:color w:val="005EB8"/>
    </w:rPr>
  </w:style>
  <w:style w:type="character" w:customStyle="1" w:styleId="DocsCorpHyperlinkStyle">
    <w:name w:val="DocsCorpHyperlinkStyle"/>
    <w:uiPriority w:val="99"/>
    <w:unhideWhenUsed/>
    <w:rsid w:val="00026753"/>
    <w:rPr>
      <w:color w:val="000000"/>
      <w:u w:val="single"/>
    </w:rPr>
  </w:style>
  <w:style w:type="paragraph" w:styleId="NormalWeb">
    <w:name w:val="Normal (Web)"/>
    <w:basedOn w:val="Normal"/>
    <w:uiPriority w:val="99"/>
    <w:semiHidden/>
    <w:unhideWhenUsed/>
    <w:rsid w:val="00B90D0C"/>
    <w:pPr>
      <w:spacing w:after="0"/>
    </w:pPr>
    <w:rPr>
      <w:rFonts w:ascii="Times New Roman" w:eastAsiaTheme="minorHAnsi" w:hAnsi="Times New Roman" w:cs="Times New Roman"/>
      <w:szCs w:val="24"/>
      <w:lang w:val="en-GB" w:eastAsia="en-GB"/>
    </w:rPr>
  </w:style>
  <w:style w:type="character" w:customStyle="1" w:styleId="xbe">
    <w:name w:val="_xbe"/>
    <w:basedOn w:val="DefaultParagraphFont"/>
    <w:rsid w:val="00B9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66160">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41712549">
      <w:bodyDiv w:val="1"/>
      <w:marLeft w:val="0"/>
      <w:marRight w:val="0"/>
      <w:marTop w:val="0"/>
      <w:marBottom w:val="0"/>
      <w:divBdr>
        <w:top w:val="none" w:sz="0" w:space="0" w:color="auto"/>
        <w:left w:val="none" w:sz="0" w:space="0" w:color="auto"/>
        <w:bottom w:val="none" w:sz="0" w:space="0" w:color="auto"/>
        <w:right w:val="none" w:sz="0" w:space="0" w:color="auto"/>
      </w:divBdr>
    </w:div>
    <w:div w:id="60834411">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84351227">
      <w:bodyDiv w:val="1"/>
      <w:marLeft w:val="0"/>
      <w:marRight w:val="0"/>
      <w:marTop w:val="0"/>
      <w:marBottom w:val="0"/>
      <w:divBdr>
        <w:top w:val="none" w:sz="0" w:space="0" w:color="auto"/>
        <w:left w:val="none" w:sz="0" w:space="0" w:color="auto"/>
        <w:bottom w:val="none" w:sz="0" w:space="0" w:color="auto"/>
        <w:right w:val="none" w:sz="0" w:space="0" w:color="auto"/>
      </w:divBdr>
    </w:div>
    <w:div w:id="91979063">
      <w:bodyDiv w:val="1"/>
      <w:marLeft w:val="0"/>
      <w:marRight w:val="0"/>
      <w:marTop w:val="0"/>
      <w:marBottom w:val="0"/>
      <w:divBdr>
        <w:top w:val="none" w:sz="0" w:space="0" w:color="auto"/>
        <w:left w:val="none" w:sz="0" w:space="0" w:color="auto"/>
        <w:bottom w:val="none" w:sz="0" w:space="0" w:color="auto"/>
        <w:right w:val="none" w:sz="0" w:space="0" w:color="auto"/>
      </w:divBdr>
    </w:div>
    <w:div w:id="114295050">
      <w:bodyDiv w:val="1"/>
      <w:marLeft w:val="0"/>
      <w:marRight w:val="0"/>
      <w:marTop w:val="0"/>
      <w:marBottom w:val="0"/>
      <w:divBdr>
        <w:top w:val="none" w:sz="0" w:space="0" w:color="auto"/>
        <w:left w:val="none" w:sz="0" w:space="0" w:color="auto"/>
        <w:bottom w:val="none" w:sz="0" w:space="0" w:color="auto"/>
        <w:right w:val="none" w:sz="0" w:space="0" w:color="auto"/>
      </w:divBdr>
    </w:div>
    <w:div w:id="126510296">
      <w:bodyDiv w:val="1"/>
      <w:marLeft w:val="0"/>
      <w:marRight w:val="0"/>
      <w:marTop w:val="0"/>
      <w:marBottom w:val="0"/>
      <w:divBdr>
        <w:top w:val="none" w:sz="0" w:space="0" w:color="auto"/>
        <w:left w:val="none" w:sz="0" w:space="0" w:color="auto"/>
        <w:bottom w:val="none" w:sz="0" w:space="0" w:color="auto"/>
        <w:right w:val="none" w:sz="0" w:space="0" w:color="auto"/>
      </w:divBdr>
    </w:div>
    <w:div w:id="130095955">
      <w:bodyDiv w:val="1"/>
      <w:marLeft w:val="0"/>
      <w:marRight w:val="0"/>
      <w:marTop w:val="0"/>
      <w:marBottom w:val="0"/>
      <w:divBdr>
        <w:top w:val="none" w:sz="0" w:space="0" w:color="auto"/>
        <w:left w:val="none" w:sz="0" w:space="0" w:color="auto"/>
        <w:bottom w:val="none" w:sz="0" w:space="0" w:color="auto"/>
        <w:right w:val="none" w:sz="0" w:space="0" w:color="auto"/>
      </w:divBdr>
    </w:div>
    <w:div w:id="143818300">
      <w:bodyDiv w:val="1"/>
      <w:marLeft w:val="0"/>
      <w:marRight w:val="0"/>
      <w:marTop w:val="0"/>
      <w:marBottom w:val="0"/>
      <w:divBdr>
        <w:top w:val="none" w:sz="0" w:space="0" w:color="auto"/>
        <w:left w:val="none" w:sz="0" w:space="0" w:color="auto"/>
        <w:bottom w:val="none" w:sz="0" w:space="0" w:color="auto"/>
        <w:right w:val="none" w:sz="0" w:space="0" w:color="auto"/>
      </w:divBdr>
    </w:div>
    <w:div w:id="161239565">
      <w:bodyDiv w:val="1"/>
      <w:marLeft w:val="0"/>
      <w:marRight w:val="0"/>
      <w:marTop w:val="0"/>
      <w:marBottom w:val="0"/>
      <w:divBdr>
        <w:top w:val="none" w:sz="0" w:space="0" w:color="auto"/>
        <w:left w:val="none" w:sz="0" w:space="0" w:color="auto"/>
        <w:bottom w:val="none" w:sz="0" w:space="0" w:color="auto"/>
        <w:right w:val="none" w:sz="0" w:space="0" w:color="auto"/>
      </w:divBdr>
    </w:div>
    <w:div w:id="179860741">
      <w:bodyDiv w:val="1"/>
      <w:marLeft w:val="0"/>
      <w:marRight w:val="0"/>
      <w:marTop w:val="0"/>
      <w:marBottom w:val="0"/>
      <w:divBdr>
        <w:top w:val="none" w:sz="0" w:space="0" w:color="auto"/>
        <w:left w:val="none" w:sz="0" w:space="0" w:color="auto"/>
        <w:bottom w:val="none" w:sz="0" w:space="0" w:color="auto"/>
        <w:right w:val="none" w:sz="0" w:space="0" w:color="auto"/>
      </w:divBdr>
    </w:div>
    <w:div w:id="192116636">
      <w:bodyDiv w:val="1"/>
      <w:marLeft w:val="0"/>
      <w:marRight w:val="0"/>
      <w:marTop w:val="0"/>
      <w:marBottom w:val="0"/>
      <w:divBdr>
        <w:top w:val="none" w:sz="0" w:space="0" w:color="auto"/>
        <w:left w:val="none" w:sz="0" w:space="0" w:color="auto"/>
        <w:bottom w:val="none" w:sz="0" w:space="0" w:color="auto"/>
        <w:right w:val="none" w:sz="0" w:space="0" w:color="auto"/>
      </w:divBdr>
    </w:div>
    <w:div w:id="19249607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266289">
      <w:bodyDiv w:val="1"/>
      <w:marLeft w:val="0"/>
      <w:marRight w:val="0"/>
      <w:marTop w:val="0"/>
      <w:marBottom w:val="0"/>
      <w:divBdr>
        <w:top w:val="none" w:sz="0" w:space="0" w:color="auto"/>
        <w:left w:val="none" w:sz="0" w:space="0" w:color="auto"/>
        <w:bottom w:val="none" w:sz="0" w:space="0" w:color="auto"/>
        <w:right w:val="none" w:sz="0" w:space="0" w:color="auto"/>
      </w:divBdr>
    </w:div>
    <w:div w:id="248076049">
      <w:bodyDiv w:val="1"/>
      <w:marLeft w:val="0"/>
      <w:marRight w:val="0"/>
      <w:marTop w:val="0"/>
      <w:marBottom w:val="0"/>
      <w:divBdr>
        <w:top w:val="none" w:sz="0" w:space="0" w:color="auto"/>
        <w:left w:val="none" w:sz="0" w:space="0" w:color="auto"/>
        <w:bottom w:val="none" w:sz="0" w:space="0" w:color="auto"/>
        <w:right w:val="none" w:sz="0" w:space="0" w:color="auto"/>
      </w:divBdr>
    </w:div>
    <w:div w:id="252906537">
      <w:bodyDiv w:val="1"/>
      <w:marLeft w:val="0"/>
      <w:marRight w:val="0"/>
      <w:marTop w:val="0"/>
      <w:marBottom w:val="0"/>
      <w:divBdr>
        <w:top w:val="none" w:sz="0" w:space="0" w:color="auto"/>
        <w:left w:val="none" w:sz="0" w:space="0" w:color="auto"/>
        <w:bottom w:val="none" w:sz="0" w:space="0" w:color="auto"/>
        <w:right w:val="none" w:sz="0" w:space="0" w:color="auto"/>
      </w:divBdr>
    </w:div>
    <w:div w:id="284042813">
      <w:bodyDiv w:val="1"/>
      <w:marLeft w:val="0"/>
      <w:marRight w:val="0"/>
      <w:marTop w:val="0"/>
      <w:marBottom w:val="0"/>
      <w:divBdr>
        <w:top w:val="none" w:sz="0" w:space="0" w:color="auto"/>
        <w:left w:val="none" w:sz="0" w:space="0" w:color="auto"/>
        <w:bottom w:val="none" w:sz="0" w:space="0" w:color="auto"/>
        <w:right w:val="none" w:sz="0" w:space="0" w:color="auto"/>
      </w:divBdr>
    </w:div>
    <w:div w:id="307058870">
      <w:bodyDiv w:val="1"/>
      <w:marLeft w:val="0"/>
      <w:marRight w:val="0"/>
      <w:marTop w:val="0"/>
      <w:marBottom w:val="0"/>
      <w:divBdr>
        <w:top w:val="none" w:sz="0" w:space="0" w:color="auto"/>
        <w:left w:val="none" w:sz="0" w:space="0" w:color="auto"/>
        <w:bottom w:val="none" w:sz="0" w:space="0" w:color="auto"/>
        <w:right w:val="none" w:sz="0" w:space="0" w:color="auto"/>
      </w:divBdr>
    </w:div>
    <w:div w:id="318507231">
      <w:bodyDiv w:val="1"/>
      <w:marLeft w:val="0"/>
      <w:marRight w:val="0"/>
      <w:marTop w:val="0"/>
      <w:marBottom w:val="0"/>
      <w:divBdr>
        <w:top w:val="none" w:sz="0" w:space="0" w:color="auto"/>
        <w:left w:val="none" w:sz="0" w:space="0" w:color="auto"/>
        <w:bottom w:val="none" w:sz="0" w:space="0" w:color="auto"/>
        <w:right w:val="none" w:sz="0" w:space="0" w:color="auto"/>
      </w:divBdr>
    </w:div>
    <w:div w:id="319384339">
      <w:bodyDiv w:val="1"/>
      <w:marLeft w:val="0"/>
      <w:marRight w:val="0"/>
      <w:marTop w:val="0"/>
      <w:marBottom w:val="0"/>
      <w:divBdr>
        <w:top w:val="none" w:sz="0" w:space="0" w:color="auto"/>
        <w:left w:val="none" w:sz="0" w:space="0" w:color="auto"/>
        <w:bottom w:val="none" w:sz="0" w:space="0" w:color="auto"/>
        <w:right w:val="none" w:sz="0" w:space="0" w:color="auto"/>
      </w:divBdr>
    </w:div>
    <w:div w:id="332027654">
      <w:bodyDiv w:val="1"/>
      <w:marLeft w:val="0"/>
      <w:marRight w:val="0"/>
      <w:marTop w:val="0"/>
      <w:marBottom w:val="0"/>
      <w:divBdr>
        <w:top w:val="none" w:sz="0" w:space="0" w:color="auto"/>
        <w:left w:val="none" w:sz="0" w:space="0" w:color="auto"/>
        <w:bottom w:val="none" w:sz="0" w:space="0" w:color="auto"/>
        <w:right w:val="none" w:sz="0" w:space="0" w:color="auto"/>
      </w:divBdr>
    </w:div>
    <w:div w:id="333991585">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41396066">
      <w:bodyDiv w:val="1"/>
      <w:marLeft w:val="0"/>
      <w:marRight w:val="0"/>
      <w:marTop w:val="0"/>
      <w:marBottom w:val="0"/>
      <w:divBdr>
        <w:top w:val="none" w:sz="0" w:space="0" w:color="auto"/>
        <w:left w:val="none" w:sz="0" w:space="0" w:color="auto"/>
        <w:bottom w:val="none" w:sz="0" w:space="0" w:color="auto"/>
        <w:right w:val="none" w:sz="0" w:space="0" w:color="auto"/>
      </w:divBdr>
    </w:div>
    <w:div w:id="378093002">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
    <w:div w:id="404766544">
      <w:bodyDiv w:val="1"/>
      <w:marLeft w:val="0"/>
      <w:marRight w:val="0"/>
      <w:marTop w:val="0"/>
      <w:marBottom w:val="0"/>
      <w:divBdr>
        <w:top w:val="none" w:sz="0" w:space="0" w:color="auto"/>
        <w:left w:val="none" w:sz="0" w:space="0" w:color="auto"/>
        <w:bottom w:val="none" w:sz="0" w:space="0" w:color="auto"/>
        <w:right w:val="none" w:sz="0" w:space="0" w:color="auto"/>
      </w:divBdr>
    </w:div>
    <w:div w:id="427501954">
      <w:bodyDiv w:val="1"/>
      <w:marLeft w:val="0"/>
      <w:marRight w:val="0"/>
      <w:marTop w:val="0"/>
      <w:marBottom w:val="0"/>
      <w:divBdr>
        <w:top w:val="none" w:sz="0" w:space="0" w:color="auto"/>
        <w:left w:val="none" w:sz="0" w:space="0" w:color="auto"/>
        <w:bottom w:val="none" w:sz="0" w:space="0" w:color="auto"/>
        <w:right w:val="none" w:sz="0" w:space="0" w:color="auto"/>
      </w:divBdr>
    </w:div>
    <w:div w:id="435758626">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52023527">
      <w:bodyDiv w:val="1"/>
      <w:marLeft w:val="0"/>
      <w:marRight w:val="0"/>
      <w:marTop w:val="0"/>
      <w:marBottom w:val="0"/>
      <w:divBdr>
        <w:top w:val="none" w:sz="0" w:space="0" w:color="auto"/>
        <w:left w:val="none" w:sz="0" w:space="0" w:color="auto"/>
        <w:bottom w:val="none" w:sz="0" w:space="0" w:color="auto"/>
        <w:right w:val="none" w:sz="0" w:space="0" w:color="auto"/>
      </w:divBdr>
    </w:div>
    <w:div w:id="472870707">
      <w:bodyDiv w:val="1"/>
      <w:marLeft w:val="0"/>
      <w:marRight w:val="0"/>
      <w:marTop w:val="0"/>
      <w:marBottom w:val="0"/>
      <w:divBdr>
        <w:top w:val="none" w:sz="0" w:space="0" w:color="auto"/>
        <w:left w:val="none" w:sz="0" w:space="0" w:color="auto"/>
        <w:bottom w:val="none" w:sz="0" w:space="0" w:color="auto"/>
        <w:right w:val="none" w:sz="0" w:space="0" w:color="auto"/>
      </w:divBdr>
    </w:div>
    <w:div w:id="482115386">
      <w:bodyDiv w:val="1"/>
      <w:marLeft w:val="0"/>
      <w:marRight w:val="0"/>
      <w:marTop w:val="0"/>
      <w:marBottom w:val="0"/>
      <w:divBdr>
        <w:top w:val="none" w:sz="0" w:space="0" w:color="auto"/>
        <w:left w:val="none" w:sz="0" w:space="0" w:color="auto"/>
        <w:bottom w:val="none" w:sz="0" w:space="0" w:color="auto"/>
        <w:right w:val="none" w:sz="0" w:space="0" w:color="auto"/>
      </w:divBdr>
    </w:div>
    <w:div w:id="491528956">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1702005">
      <w:bodyDiv w:val="1"/>
      <w:marLeft w:val="0"/>
      <w:marRight w:val="0"/>
      <w:marTop w:val="0"/>
      <w:marBottom w:val="0"/>
      <w:divBdr>
        <w:top w:val="none" w:sz="0" w:space="0" w:color="auto"/>
        <w:left w:val="none" w:sz="0" w:space="0" w:color="auto"/>
        <w:bottom w:val="none" w:sz="0" w:space="0" w:color="auto"/>
        <w:right w:val="none" w:sz="0" w:space="0" w:color="auto"/>
      </w:divBdr>
    </w:div>
    <w:div w:id="529686547">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75632527">
      <w:bodyDiv w:val="1"/>
      <w:marLeft w:val="0"/>
      <w:marRight w:val="0"/>
      <w:marTop w:val="0"/>
      <w:marBottom w:val="0"/>
      <w:divBdr>
        <w:top w:val="none" w:sz="0" w:space="0" w:color="auto"/>
        <w:left w:val="none" w:sz="0" w:space="0" w:color="auto"/>
        <w:bottom w:val="none" w:sz="0" w:space="0" w:color="auto"/>
        <w:right w:val="none" w:sz="0" w:space="0" w:color="auto"/>
      </w:divBdr>
    </w:div>
    <w:div w:id="591354034">
      <w:bodyDiv w:val="1"/>
      <w:marLeft w:val="0"/>
      <w:marRight w:val="0"/>
      <w:marTop w:val="0"/>
      <w:marBottom w:val="0"/>
      <w:divBdr>
        <w:top w:val="none" w:sz="0" w:space="0" w:color="auto"/>
        <w:left w:val="none" w:sz="0" w:space="0" w:color="auto"/>
        <w:bottom w:val="none" w:sz="0" w:space="0" w:color="auto"/>
        <w:right w:val="none" w:sz="0" w:space="0" w:color="auto"/>
      </w:divBdr>
    </w:div>
    <w:div w:id="594368029">
      <w:bodyDiv w:val="1"/>
      <w:marLeft w:val="0"/>
      <w:marRight w:val="0"/>
      <w:marTop w:val="0"/>
      <w:marBottom w:val="0"/>
      <w:divBdr>
        <w:top w:val="none" w:sz="0" w:space="0" w:color="auto"/>
        <w:left w:val="none" w:sz="0" w:space="0" w:color="auto"/>
        <w:bottom w:val="none" w:sz="0" w:space="0" w:color="auto"/>
        <w:right w:val="none" w:sz="0" w:space="0" w:color="auto"/>
      </w:divBdr>
    </w:div>
    <w:div w:id="602615437">
      <w:bodyDiv w:val="1"/>
      <w:marLeft w:val="0"/>
      <w:marRight w:val="0"/>
      <w:marTop w:val="0"/>
      <w:marBottom w:val="0"/>
      <w:divBdr>
        <w:top w:val="none" w:sz="0" w:space="0" w:color="auto"/>
        <w:left w:val="none" w:sz="0" w:space="0" w:color="auto"/>
        <w:bottom w:val="none" w:sz="0" w:space="0" w:color="auto"/>
        <w:right w:val="none" w:sz="0" w:space="0" w:color="auto"/>
      </w:divBdr>
    </w:div>
    <w:div w:id="602886456">
      <w:bodyDiv w:val="1"/>
      <w:marLeft w:val="0"/>
      <w:marRight w:val="0"/>
      <w:marTop w:val="0"/>
      <w:marBottom w:val="0"/>
      <w:divBdr>
        <w:top w:val="none" w:sz="0" w:space="0" w:color="auto"/>
        <w:left w:val="none" w:sz="0" w:space="0" w:color="auto"/>
        <w:bottom w:val="none" w:sz="0" w:space="0" w:color="auto"/>
        <w:right w:val="none" w:sz="0" w:space="0" w:color="auto"/>
      </w:divBdr>
    </w:div>
    <w:div w:id="630210817">
      <w:bodyDiv w:val="1"/>
      <w:marLeft w:val="0"/>
      <w:marRight w:val="0"/>
      <w:marTop w:val="0"/>
      <w:marBottom w:val="0"/>
      <w:divBdr>
        <w:top w:val="none" w:sz="0" w:space="0" w:color="auto"/>
        <w:left w:val="none" w:sz="0" w:space="0" w:color="auto"/>
        <w:bottom w:val="none" w:sz="0" w:space="0" w:color="auto"/>
        <w:right w:val="none" w:sz="0" w:space="0" w:color="auto"/>
      </w:divBdr>
    </w:div>
    <w:div w:id="635767730">
      <w:bodyDiv w:val="1"/>
      <w:marLeft w:val="0"/>
      <w:marRight w:val="0"/>
      <w:marTop w:val="0"/>
      <w:marBottom w:val="0"/>
      <w:divBdr>
        <w:top w:val="none" w:sz="0" w:space="0" w:color="auto"/>
        <w:left w:val="none" w:sz="0" w:space="0" w:color="auto"/>
        <w:bottom w:val="none" w:sz="0" w:space="0" w:color="auto"/>
        <w:right w:val="none" w:sz="0" w:space="0" w:color="auto"/>
      </w:divBdr>
    </w:div>
    <w:div w:id="643244794">
      <w:bodyDiv w:val="1"/>
      <w:marLeft w:val="0"/>
      <w:marRight w:val="0"/>
      <w:marTop w:val="0"/>
      <w:marBottom w:val="0"/>
      <w:divBdr>
        <w:top w:val="none" w:sz="0" w:space="0" w:color="auto"/>
        <w:left w:val="none" w:sz="0" w:space="0" w:color="auto"/>
        <w:bottom w:val="none" w:sz="0" w:space="0" w:color="auto"/>
        <w:right w:val="none" w:sz="0" w:space="0" w:color="auto"/>
      </w:divBdr>
    </w:div>
    <w:div w:id="647629277">
      <w:bodyDiv w:val="1"/>
      <w:marLeft w:val="0"/>
      <w:marRight w:val="0"/>
      <w:marTop w:val="0"/>
      <w:marBottom w:val="0"/>
      <w:divBdr>
        <w:top w:val="none" w:sz="0" w:space="0" w:color="auto"/>
        <w:left w:val="none" w:sz="0" w:space="0" w:color="auto"/>
        <w:bottom w:val="none" w:sz="0" w:space="0" w:color="auto"/>
        <w:right w:val="none" w:sz="0" w:space="0" w:color="auto"/>
      </w:divBdr>
    </w:div>
    <w:div w:id="658533733">
      <w:bodyDiv w:val="1"/>
      <w:marLeft w:val="0"/>
      <w:marRight w:val="0"/>
      <w:marTop w:val="0"/>
      <w:marBottom w:val="0"/>
      <w:divBdr>
        <w:top w:val="none" w:sz="0" w:space="0" w:color="auto"/>
        <w:left w:val="none" w:sz="0" w:space="0" w:color="auto"/>
        <w:bottom w:val="none" w:sz="0" w:space="0" w:color="auto"/>
        <w:right w:val="none" w:sz="0" w:space="0" w:color="auto"/>
      </w:divBdr>
    </w:div>
    <w:div w:id="672414832">
      <w:bodyDiv w:val="1"/>
      <w:marLeft w:val="0"/>
      <w:marRight w:val="0"/>
      <w:marTop w:val="0"/>
      <w:marBottom w:val="0"/>
      <w:divBdr>
        <w:top w:val="none" w:sz="0" w:space="0" w:color="auto"/>
        <w:left w:val="none" w:sz="0" w:space="0" w:color="auto"/>
        <w:bottom w:val="none" w:sz="0" w:space="0" w:color="auto"/>
        <w:right w:val="none" w:sz="0" w:space="0" w:color="auto"/>
      </w:divBdr>
    </w:div>
    <w:div w:id="693849295">
      <w:bodyDiv w:val="1"/>
      <w:marLeft w:val="0"/>
      <w:marRight w:val="0"/>
      <w:marTop w:val="0"/>
      <w:marBottom w:val="0"/>
      <w:divBdr>
        <w:top w:val="none" w:sz="0" w:space="0" w:color="auto"/>
        <w:left w:val="none" w:sz="0" w:space="0" w:color="auto"/>
        <w:bottom w:val="none" w:sz="0" w:space="0" w:color="auto"/>
        <w:right w:val="none" w:sz="0" w:space="0" w:color="auto"/>
      </w:divBdr>
    </w:div>
    <w:div w:id="739255505">
      <w:bodyDiv w:val="1"/>
      <w:marLeft w:val="0"/>
      <w:marRight w:val="0"/>
      <w:marTop w:val="0"/>
      <w:marBottom w:val="0"/>
      <w:divBdr>
        <w:top w:val="none" w:sz="0" w:space="0" w:color="auto"/>
        <w:left w:val="none" w:sz="0" w:space="0" w:color="auto"/>
        <w:bottom w:val="none" w:sz="0" w:space="0" w:color="auto"/>
        <w:right w:val="none" w:sz="0" w:space="0" w:color="auto"/>
      </w:divBdr>
    </w:div>
    <w:div w:id="785924110">
      <w:bodyDiv w:val="1"/>
      <w:marLeft w:val="0"/>
      <w:marRight w:val="0"/>
      <w:marTop w:val="0"/>
      <w:marBottom w:val="0"/>
      <w:divBdr>
        <w:top w:val="none" w:sz="0" w:space="0" w:color="auto"/>
        <w:left w:val="none" w:sz="0" w:space="0" w:color="auto"/>
        <w:bottom w:val="none" w:sz="0" w:space="0" w:color="auto"/>
        <w:right w:val="none" w:sz="0" w:space="0" w:color="auto"/>
      </w:divBdr>
    </w:div>
    <w:div w:id="787047812">
      <w:bodyDiv w:val="1"/>
      <w:marLeft w:val="0"/>
      <w:marRight w:val="0"/>
      <w:marTop w:val="0"/>
      <w:marBottom w:val="0"/>
      <w:divBdr>
        <w:top w:val="none" w:sz="0" w:space="0" w:color="auto"/>
        <w:left w:val="none" w:sz="0" w:space="0" w:color="auto"/>
        <w:bottom w:val="none" w:sz="0" w:space="0" w:color="auto"/>
        <w:right w:val="none" w:sz="0" w:space="0" w:color="auto"/>
      </w:divBdr>
    </w:div>
    <w:div w:id="792134529">
      <w:bodyDiv w:val="1"/>
      <w:marLeft w:val="0"/>
      <w:marRight w:val="0"/>
      <w:marTop w:val="0"/>
      <w:marBottom w:val="0"/>
      <w:divBdr>
        <w:top w:val="none" w:sz="0" w:space="0" w:color="auto"/>
        <w:left w:val="none" w:sz="0" w:space="0" w:color="auto"/>
        <w:bottom w:val="none" w:sz="0" w:space="0" w:color="auto"/>
        <w:right w:val="none" w:sz="0" w:space="0" w:color="auto"/>
      </w:divBdr>
    </w:div>
    <w:div w:id="798303152">
      <w:bodyDiv w:val="1"/>
      <w:marLeft w:val="0"/>
      <w:marRight w:val="0"/>
      <w:marTop w:val="0"/>
      <w:marBottom w:val="0"/>
      <w:divBdr>
        <w:top w:val="none" w:sz="0" w:space="0" w:color="auto"/>
        <w:left w:val="none" w:sz="0" w:space="0" w:color="auto"/>
        <w:bottom w:val="none" w:sz="0" w:space="0" w:color="auto"/>
        <w:right w:val="none" w:sz="0" w:space="0" w:color="auto"/>
      </w:divBdr>
    </w:div>
    <w:div w:id="832335916">
      <w:bodyDiv w:val="1"/>
      <w:marLeft w:val="0"/>
      <w:marRight w:val="0"/>
      <w:marTop w:val="0"/>
      <w:marBottom w:val="0"/>
      <w:divBdr>
        <w:top w:val="none" w:sz="0" w:space="0" w:color="auto"/>
        <w:left w:val="none" w:sz="0" w:space="0" w:color="auto"/>
        <w:bottom w:val="none" w:sz="0" w:space="0" w:color="auto"/>
        <w:right w:val="none" w:sz="0" w:space="0" w:color="auto"/>
      </w:divBdr>
    </w:div>
    <w:div w:id="842360033">
      <w:bodyDiv w:val="1"/>
      <w:marLeft w:val="0"/>
      <w:marRight w:val="0"/>
      <w:marTop w:val="0"/>
      <w:marBottom w:val="0"/>
      <w:divBdr>
        <w:top w:val="none" w:sz="0" w:space="0" w:color="auto"/>
        <w:left w:val="none" w:sz="0" w:space="0" w:color="auto"/>
        <w:bottom w:val="none" w:sz="0" w:space="0" w:color="auto"/>
        <w:right w:val="none" w:sz="0" w:space="0" w:color="auto"/>
      </w:divBdr>
    </w:div>
    <w:div w:id="859853879">
      <w:bodyDiv w:val="1"/>
      <w:marLeft w:val="0"/>
      <w:marRight w:val="0"/>
      <w:marTop w:val="0"/>
      <w:marBottom w:val="0"/>
      <w:divBdr>
        <w:top w:val="none" w:sz="0" w:space="0" w:color="auto"/>
        <w:left w:val="none" w:sz="0" w:space="0" w:color="auto"/>
        <w:bottom w:val="none" w:sz="0" w:space="0" w:color="auto"/>
        <w:right w:val="none" w:sz="0" w:space="0" w:color="auto"/>
      </w:divBdr>
    </w:div>
    <w:div w:id="88541467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0038928">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16862595">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928932205">
      <w:bodyDiv w:val="1"/>
      <w:marLeft w:val="0"/>
      <w:marRight w:val="0"/>
      <w:marTop w:val="0"/>
      <w:marBottom w:val="0"/>
      <w:divBdr>
        <w:top w:val="none" w:sz="0" w:space="0" w:color="auto"/>
        <w:left w:val="none" w:sz="0" w:space="0" w:color="auto"/>
        <w:bottom w:val="none" w:sz="0" w:space="0" w:color="auto"/>
        <w:right w:val="none" w:sz="0" w:space="0" w:color="auto"/>
      </w:divBdr>
    </w:div>
    <w:div w:id="966426589">
      <w:bodyDiv w:val="1"/>
      <w:marLeft w:val="0"/>
      <w:marRight w:val="0"/>
      <w:marTop w:val="0"/>
      <w:marBottom w:val="0"/>
      <w:divBdr>
        <w:top w:val="none" w:sz="0" w:space="0" w:color="auto"/>
        <w:left w:val="none" w:sz="0" w:space="0" w:color="auto"/>
        <w:bottom w:val="none" w:sz="0" w:space="0" w:color="auto"/>
        <w:right w:val="none" w:sz="0" w:space="0" w:color="auto"/>
      </w:divBdr>
    </w:div>
    <w:div w:id="970594172">
      <w:bodyDiv w:val="1"/>
      <w:marLeft w:val="0"/>
      <w:marRight w:val="0"/>
      <w:marTop w:val="0"/>
      <w:marBottom w:val="0"/>
      <w:divBdr>
        <w:top w:val="none" w:sz="0" w:space="0" w:color="auto"/>
        <w:left w:val="none" w:sz="0" w:space="0" w:color="auto"/>
        <w:bottom w:val="none" w:sz="0" w:space="0" w:color="auto"/>
        <w:right w:val="none" w:sz="0" w:space="0" w:color="auto"/>
      </w:divBdr>
    </w:div>
    <w:div w:id="1016612180">
      <w:bodyDiv w:val="1"/>
      <w:marLeft w:val="0"/>
      <w:marRight w:val="0"/>
      <w:marTop w:val="0"/>
      <w:marBottom w:val="0"/>
      <w:divBdr>
        <w:top w:val="none" w:sz="0" w:space="0" w:color="auto"/>
        <w:left w:val="none" w:sz="0" w:space="0" w:color="auto"/>
        <w:bottom w:val="none" w:sz="0" w:space="0" w:color="auto"/>
        <w:right w:val="none" w:sz="0" w:space="0" w:color="auto"/>
      </w:divBdr>
    </w:div>
    <w:div w:id="1065838860">
      <w:bodyDiv w:val="1"/>
      <w:marLeft w:val="0"/>
      <w:marRight w:val="0"/>
      <w:marTop w:val="0"/>
      <w:marBottom w:val="0"/>
      <w:divBdr>
        <w:top w:val="none" w:sz="0" w:space="0" w:color="auto"/>
        <w:left w:val="none" w:sz="0" w:space="0" w:color="auto"/>
        <w:bottom w:val="none" w:sz="0" w:space="0" w:color="auto"/>
        <w:right w:val="none" w:sz="0" w:space="0" w:color="auto"/>
      </w:divBdr>
    </w:div>
    <w:div w:id="1081679228">
      <w:bodyDiv w:val="1"/>
      <w:marLeft w:val="0"/>
      <w:marRight w:val="0"/>
      <w:marTop w:val="0"/>
      <w:marBottom w:val="0"/>
      <w:divBdr>
        <w:top w:val="none" w:sz="0" w:space="0" w:color="auto"/>
        <w:left w:val="none" w:sz="0" w:space="0" w:color="auto"/>
        <w:bottom w:val="none" w:sz="0" w:space="0" w:color="auto"/>
        <w:right w:val="none" w:sz="0" w:space="0" w:color="auto"/>
      </w:divBdr>
      <w:divsChild>
        <w:div w:id="1046179446">
          <w:marLeft w:val="0"/>
          <w:marRight w:val="0"/>
          <w:marTop w:val="0"/>
          <w:marBottom w:val="0"/>
          <w:divBdr>
            <w:top w:val="none" w:sz="0" w:space="0" w:color="auto"/>
            <w:left w:val="none" w:sz="0" w:space="0" w:color="auto"/>
            <w:bottom w:val="none" w:sz="0" w:space="0" w:color="auto"/>
            <w:right w:val="none" w:sz="0" w:space="0" w:color="auto"/>
          </w:divBdr>
          <w:divsChild>
            <w:div w:id="2811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5577">
      <w:bodyDiv w:val="1"/>
      <w:marLeft w:val="0"/>
      <w:marRight w:val="0"/>
      <w:marTop w:val="0"/>
      <w:marBottom w:val="0"/>
      <w:divBdr>
        <w:top w:val="none" w:sz="0" w:space="0" w:color="auto"/>
        <w:left w:val="none" w:sz="0" w:space="0" w:color="auto"/>
        <w:bottom w:val="none" w:sz="0" w:space="0" w:color="auto"/>
        <w:right w:val="none" w:sz="0" w:space="0" w:color="auto"/>
      </w:divBdr>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139223109">
      <w:bodyDiv w:val="1"/>
      <w:marLeft w:val="0"/>
      <w:marRight w:val="0"/>
      <w:marTop w:val="0"/>
      <w:marBottom w:val="0"/>
      <w:divBdr>
        <w:top w:val="none" w:sz="0" w:space="0" w:color="auto"/>
        <w:left w:val="none" w:sz="0" w:space="0" w:color="auto"/>
        <w:bottom w:val="none" w:sz="0" w:space="0" w:color="auto"/>
        <w:right w:val="none" w:sz="0" w:space="0" w:color="auto"/>
      </w:divBdr>
    </w:div>
    <w:div w:id="1150054579">
      <w:bodyDiv w:val="1"/>
      <w:marLeft w:val="0"/>
      <w:marRight w:val="0"/>
      <w:marTop w:val="0"/>
      <w:marBottom w:val="0"/>
      <w:divBdr>
        <w:top w:val="none" w:sz="0" w:space="0" w:color="auto"/>
        <w:left w:val="none" w:sz="0" w:space="0" w:color="auto"/>
        <w:bottom w:val="none" w:sz="0" w:space="0" w:color="auto"/>
        <w:right w:val="none" w:sz="0" w:space="0" w:color="auto"/>
      </w:divBdr>
    </w:div>
    <w:div w:id="1197965252">
      <w:bodyDiv w:val="1"/>
      <w:marLeft w:val="0"/>
      <w:marRight w:val="0"/>
      <w:marTop w:val="0"/>
      <w:marBottom w:val="0"/>
      <w:divBdr>
        <w:top w:val="none" w:sz="0" w:space="0" w:color="auto"/>
        <w:left w:val="none" w:sz="0" w:space="0" w:color="auto"/>
        <w:bottom w:val="none" w:sz="0" w:space="0" w:color="auto"/>
        <w:right w:val="none" w:sz="0" w:space="0" w:color="auto"/>
      </w:divBdr>
    </w:div>
    <w:div w:id="1243028833">
      <w:bodyDiv w:val="1"/>
      <w:marLeft w:val="0"/>
      <w:marRight w:val="0"/>
      <w:marTop w:val="0"/>
      <w:marBottom w:val="0"/>
      <w:divBdr>
        <w:top w:val="none" w:sz="0" w:space="0" w:color="auto"/>
        <w:left w:val="none" w:sz="0" w:space="0" w:color="auto"/>
        <w:bottom w:val="none" w:sz="0" w:space="0" w:color="auto"/>
        <w:right w:val="none" w:sz="0" w:space="0" w:color="auto"/>
      </w:divBdr>
    </w:div>
    <w:div w:id="1248002196">
      <w:bodyDiv w:val="1"/>
      <w:marLeft w:val="0"/>
      <w:marRight w:val="0"/>
      <w:marTop w:val="0"/>
      <w:marBottom w:val="0"/>
      <w:divBdr>
        <w:top w:val="none" w:sz="0" w:space="0" w:color="auto"/>
        <w:left w:val="none" w:sz="0" w:space="0" w:color="auto"/>
        <w:bottom w:val="none" w:sz="0" w:space="0" w:color="auto"/>
        <w:right w:val="none" w:sz="0" w:space="0" w:color="auto"/>
      </w:divBdr>
    </w:div>
    <w:div w:id="125193638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272398854">
      <w:bodyDiv w:val="1"/>
      <w:marLeft w:val="0"/>
      <w:marRight w:val="0"/>
      <w:marTop w:val="0"/>
      <w:marBottom w:val="0"/>
      <w:divBdr>
        <w:top w:val="none" w:sz="0" w:space="0" w:color="auto"/>
        <w:left w:val="none" w:sz="0" w:space="0" w:color="auto"/>
        <w:bottom w:val="none" w:sz="0" w:space="0" w:color="auto"/>
        <w:right w:val="none" w:sz="0" w:space="0" w:color="auto"/>
      </w:divBdr>
    </w:div>
    <w:div w:id="1331059946">
      <w:bodyDiv w:val="1"/>
      <w:marLeft w:val="0"/>
      <w:marRight w:val="0"/>
      <w:marTop w:val="0"/>
      <w:marBottom w:val="0"/>
      <w:divBdr>
        <w:top w:val="none" w:sz="0" w:space="0" w:color="auto"/>
        <w:left w:val="none" w:sz="0" w:space="0" w:color="auto"/>
        <w:bottom w:val="none" w:sz="0" w:space="0" w:color="auto"/>
        <w:right w:val="none" w:sz="0" w:space="0" w:color="auto"/>
      </w:divBdr>
    </w:div>
    <w:div w:id="1337610767">
      <w:bodyDiv w:val="1"/>
      <w:marLeft w:val="0"/>
      <w:marRight w:val="0"/>
      <w:marTop w:val="0"/>
      <w:marBottom w:val="0"/>
      <w:divBdr>
        <w:top w:val="none" w:sz="0" w:space="0" w:color="auto"/>
        <w:left w:val="none" w:sz="0" w:space="0" w:color="auto"/>
        <w:bottom w:val="none" w:sz="0" w:space="0" w:color="auto"/>
        <w:right w:val="none" w:sz="0" w:space="0" w:color="auto"/>
      </w:divBdr>
    </w:div>
    <w:div w:id="1338924984">
      <w:bodyDiv w:val="1"/>
      <w:marLeft w:val="0"/>
      <w:marRight w:val="0"/>
      <w:marTop w:val="0"/>
      <w:marBottom w:val="0"/>
      <w:divBdr>
        <w:top w:val="none" w:sz="0" w:space="0" w:color="auto"/>
        <w:left w:val="none" w:sz="0" w:space="0" w:color="auto"/>
        <w:bottom w:val="none" w:sz="0" w:space="0" w:color="auto"/>
        <w:right w:val="none" w:sz="0" w:space="0" w:color="auto"/>
      </w:divBdr>
    </w:div>
    <w:div w:id="1350794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8551723">
      <w:bodyDiv w:val="1"/>
      <w:marLeft w:val="0"/>
      <w:marRight w:val="0"/>
      <w:marTop w:val="0"/>
      <w:marBottom w:val="0"/>
      <w:divBdr>
        <w:top w:val="none" w:sz="0" w:space="0" w:color="auto"/>
        <w:left w:val="none" w:sz="0" w:space="0" w:color="auto"/>
        <w:bottom w:val="none" w:sz="0" w:space="0" w:color="auto"/>
        <w:right w:val="none" w:sz="0" w:space="0" w:color="auto"/>
      </w:divBdr>
    </w:div>
    <w:div w:id="1414008406">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47888874">
      <w:bodyDiv w:val="1"/>
      <w:marLeft w:val="0"/>
      <w:marRight w:val="0"/>
      <w:marTop w:val="0"/>
      <w:marBottom w:val="0"/>
      <w:divBdr>
        <w:top w:val="none" w:sz="0" w:space="0" w:color="auto"/>
        <w:left w:val="none" w:sz="0" w:space="0" w:color="auto"/>
        <w:bottom w:val="none" w:sz="0" w:space="0" w:color="auto"/>
        <w:right w:val="none" w:sz="0" w:space="0" w:color="auto"/>
      </w:divBdr>
    </w:div>
    <w:div w:id="1470509958">
      <w:bodyDiv w:val="1"/>
      <w:marLeft w:val="0"/>
      <w:marRight w:val="0"/>
      <w:marTop w:val="0"/>
      <w:marBottom w:val="0"/>
      <w:divBdr>
        <w:top w:val="none" w:sz="0" w:space="0" w:color="auto"/>
        <w:left w:val="none" w:sz="0" w:space="0" w:color="auto"/>
        <w:bottom w:val="none" w:sz="0" w:space="0" w:color="auto"/>
        <w:right w:val="none" w:sz="0" w:space="0" w:color="auto"/>
      </w:divBdr>
    </w:div>
    <w:div w:id="1495103741">
      <w:bodyDiv w:val="1"/>
      <w:marLeft w:val="0"/>
      <w:marRight w:val="0"/>
      <w:marTop w:val="0"/>
      <w:marBottom w:val="0"/>
      <w:divBdr>
        <w:top w:val="none" w:sz="0" w:space="0" w:color="auto"/>
        <w:left w:val="none" w:sz="0" w:space="0" w:color="auto"/>
        <w:bottom w:val="none" w:sz="0" w:space="0" w:color="auto"/>
        <w:right w:val="none" w:sz="0" w:space="0" w:color="auto"/>
      </w:divBdr>
    </w:div>
    <w:div w:id="1499691820">
      <w:bodyDiv w:val="1"/>
      <w:marLeft w:val="0"/>
      <w:marRight w:val="0"/>
      <w:marTop w:val="0"/>
      <w:marBottom w:val="0"/>
      <w:divBdr>
        <w:top w:val="none" w:sz="0" w:space="0" w:color="auto"/>
        <w:left w:val="none" w:sz="0" w:space="0" w:color="auto"/>
        <w:bottom w:val="none" w:sz="0" w:space="0" w:color="auto"/>
        <w:right w:val="none" w:sz="0" w:space="0" w:color="auto"/>
      </w:divBdr>
    </w:div>
    <w:div w:id="1507013849">
      <w:bodyDiv w:val="1"/>
      <w:marLeft w:val="0"/>
      <w:marRight w:val="0"/>
      <w:marTop w:val="0"/>
      <w:marBottom w:val="0"/>
      <w:divBdr>
        <w:top w:val="none" w:sz="0" w:space="0" w:color="auto"/>
        <w:left w:val="none" w:sz="0" w:space="0" w:color="auto"/>
        <w:bottom w:val="none" w:sz="0" w:space="0" w:color="auto"/>
        <w:right w:val="none" w:sz="0" w:space="0" w:color="auto"/>
      </w:divBdr>
    </w:div>
    <w:div w:id="1517114734">
      <w:bodyDiv w:val="1"/>
      <w:marLeft w:val="0"/>
      <w:marRight w:val="0"/>
      <w:marTop w:val="0"/>
      <w:marBottom w:val="0"/>
      <w:divBdr>
        <w:top w:val="none" w:sz="0" w:space="0" w:color="auto"/>
        <w:left w:val="none" w:sz="0" w:space="0" w:color="auto"/>
        <w:bottom w:val="none" w:sz="0" w:space="0" w:color="auto"/>
        <w:right w:val="none" w:sz="0" w:space="0" w:color="auto"/>
      </w:divBdr>
    </w:div>
    <w:div w:id="1540361086">
      <w:bodyDiv w:val="1"/>
      <w:marLeft w:val="0"/>
      <w:marRight w:val="0"/>
      <w:marTop w:val="0"/>
      <w:marBottom w:val="0"/>
      <w:divBdr>
        <w:top w:val="none" w:sz="0" w:space="0" w:color="auto"/>
        <w:left w:val="none" w:sz="0" w:space="0" w:color="auto"/>
        <w:bottom w:val="none" w:sz="0" w:space="0" w:color="auto"/>
        <w:right w:val="none" w:sz="0" w:space="0" w:color="auto"/>
      </w:divBdr>
    </w:div>
    <w:div w:id="1553421303">
      <w:bodyDiv w:val="1"/>
      <w:marLeft w:val="0"/>
      <w:marRight w:val="0"/>
      <w:marTop w:val="0"/>
      <w:marBottom w:val="0"/>
      <w:divBdr>
        <w:top w:val="none" w:sz="0" w:space="0" w:color="auto"/>
        <w:left w:val="none" w:sz="0" w:space="0" w:color="auto"/>
        <w:bottom w:val="none" w:sz="0" w:space="0" w:color="auto"/>
        <w:right w:val="none" w:sz="0" w:space="0" w:color="auto"/>
      </w:divBdr>
    </w:div>
    <w:div w:id="1561087924">
      <w:bodyDiv w:val="1"/>
      <w:marLeft w:val="0"/>
      <w:marRight w:val="0"/>
      <w:marTop w:val="0"/>
      <w:marBottom w:val="0"/>
      <w:divBdr>
        <w:top w:val="none" w:sz="0" w:space="0" w:color="auto"/>
        <w:left w:val="none" w:sz="0" w:space="0" w:color="auto"/>
        <w:bottom w:val="none" w:sz="0" w:space="0" w:color="auto"/>
        <w:right w:val="none" w:sz="0" w:space="0" w:color="auto"/>
      </w:divBdr>
    </w:div>
    <w:div w:id="1561480462">
      <w:bodyDiv w:val="1"/>
      <w:marLeft w:val="0"/>
      <w:marRight w:val="0"/>
      <w:marTop w:val="0"/>
      <w:marBottom w:val="0"/>
      <w:divBdr>
        <w:top w:val="none" w:sz="0" w:space="0" w:color="auto"/>
        <w:left w:val="none" w:sz="0" w:space="0" w:color="auto"/>
        <w:bottom w:val="none" w:sz="0" w:space="0" w:color="auto"/>
        <w:right w:val="none" w:sz="0" w:space="0" w:color="auto"/>
      </w:divBdr>
    </w:div>
    <w:div w:id="1622036194">
      <w:bodyDiv w:val="1"/>
      <w:marLeft w:val="0"/>
      <w:marRight w:val="0"/>
      <w:marTop w:val="0"/>
      <w:marBottom w:val="0"/>
      <w:divBdr>
        <w:top w:val="none" w:sz="0" w:space="0" w:color="auto"/>
        <w:left w:val="none" w:sz="0" w:space="0" w:color="auto"/>
        <w:bottom w:val="none" w:sz="0" w:space="0" w:color="auto"/>
        <w:right w:val="none" w:sz="0" w:space="0" w:color="auto"/>
      </w:divBdr>
    </w:div>
    <w:div w:id="1658145335">
      <w:bodyDiv w:val="1"/>
      <w:marLeft w:val="0"/>
      <w:marRight w:val="0"/>
      <w:marTop w:val="0"/>
      <w:marBottom w:val="0"/>
      <w:divBdr>
        <w:top w:val="none" w:sz="0" w:space="0" w:color="auto"/>
        <w:left w:val="none" w:sz="0" w:space="0" w:color="auto"/>
        <w:bottom w:val="none" w:sz="0" w:space="0" w:color="auto"/>
        <w:right w:val="none" w:sz="0" w:space="0" w:color="auto"/>
      </w:divBdr>
    </w:div>
    <w:div w:id="1668626790">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56586635">
      <w:bodyDiv w:val="1"/>
      <w:marLeft w:val="0"/>
      <w:marRight w:val="0"/>
      <w:marTop w:val="0"/>
      <w:marBottom w:val="0"/>
      <w:divBdr>
        <w:top w:val="none" w:sz="0" w:space="0" w:color="auto"/>
        <w:left w:val="none" w:sz="0" w:space="0" w:color="auto"/>
        <w:bottom w:val="none" w:sz="0" w:space="0" w:color="auto"/>
        <w:right w:val="none" w:sz="0" w:space="0" w:color="auto"/>
      </w:divBdr>
    </w:div>
    <w:div w:id="1778715264">
      <w:bodyDiv w:val="1"/>
      <w:marLeft w:val="0"/>
      <w:marRight w:val="0"/>
      <w:marTop w:val="0"/>
      <w:marBottom w:val="0"/>
      <w:divBdr>
        <w:top w:val="none" w:sz="0" w:space="0" w:color="auto"/>
        <w:left w:val="none" w:sz="0" w:space="0" w:color="auto"/>
        <w:bottom w:val="none" w:sz="0" w:space="0" w:color="auto"/>
        <w:right w:val="none" w:sz="0" w:space="0" w:color="auto"/>
      </w:divBdr>
    </w:div>
    <w:div w:id="1789275432">
      <w:bodyDiv w:val="1"/>
      <w:marLeft w:val="0"/>
      <w:marRight w:val="0"/>
      <w:marTop w:val="0"/>
      <w:marBottom w:val="0"/>
      <w:divBdr>
        <w:top w:val="none" w:sz="0" w:space="0" w:color="auto"/>
        <w:left w:val="none" w:sz="0" w:space="0" w:color="auto"/>
        <w:bottom w:val="none" w:sz="0" w:space="0" w:color="auto"/>
        <w:right w:val="none" w:sz="0" w:space="0" w:color="auto"/>
      </w:divBdr>
    </w:div>
    <w:div w:id="1793939371">
      <w:bodyDiv w:val="1"/>
      <w:marLeft w:val="0"/>
      <w:marRight w:val="0"/>
      <w:marTop w:val="0"/>
      <w:marBottom w:val="0"/>
      <w:divBdr>
        <w:top w:val="none" w:sz="0" w:space="0" w:color="auto"/>
        <w:left w:val="none" w:sz="0" w:space="0" w:color="auto"/>
        <w:bottom w:val="none" w:sz="0" w:space="0" w:color="auto"/>
        <w:right w:val="none" w:sz="0" w:space="0" w:color="auto"/>
      </w:divBdr>
    </w:div>
    <w:div w:id="1794203434">
      <w:bodyDiv w:val="1"/>
      <w:marLeft w:val="0"/>
      <w:marRight w:val="0"/>
      <w:marTop w:val="0"/>
      <w:marBottom w:val="0"/>
      <w:divBdr>
        <w:top w:val="none" w:sz="0" w:space="0" w:color="auto"/>
        <w:left w:val="none" w:sz="0" w:space="0" w:color="auto"/>
        <w:bottom w:val="none" w:sz="0" w:space="0" w:color="auto"/>
        <w:right w:val="none" w:sz="0" w:space="0" w:color="auto"/>
      </w:divBdr>
    </w:div>
    <w:div w:id="1843470297">
      <w:bodyDiv w:val="1"/>
      <w:marLeft w:val="0"/>
      <w:marRight w:val="0"/>
      <w:marTop w:val="0"/>
      <w:marBottom w:val="0"/>
      <w:divBdr>
        <w:top w:val="none" w:sz="0" w:space="0" w:color="auto"/>
        <w:left w:val="none" w:sz="0" w:space="0" w:color="auto"/>
        <w:bottom w:val="none" w:sz="0" w:space="0" w:color="auto"/>
        <w:right w:val="none" w:sz="0" w:space="0" w:color="auto"/>
      </w:divBdr>
    </w:div>
    <w:div w:id="1872037383">
      <w:bodyDiv w:val="1"/>
      <w:marLeft w:val="0"/>
      <w:marRight w:val="0"/>
      <w:marTop w:val="0"/>
      <w:marBottom w:val="0"/>
      <w:divBdr>
        <w:top w:val="none" w:sz="0" w:space="0" w:color="auto"/>
        <w:left w:val="none" w:sz="0" w:space="0" w:color="auto"/>
        <w:bottom w:val="none" w:sz="0" w:space="0" w:color="auto"/>
        <w:right w:val="none" w:sz="0" w:space="0" w:color="auto"/>
      </w:divBdr>
    </w:div>
    <w:div w:id="1877499797">
      <w:bodyDiv w:val="1"/>
      <w:marLeft w:val="0"/>
      <w:marRight w:val="0"/>
      <w:marTop w:val="0"/>
      <w:marBottom w:val="0"/>
      <w:divBdr>
        <w:top w:val="none" w:sz="0" w:space="0" w:color="auto"/>
        <w:left w:val="none" w:sz="0" w:space="0" w:color="auto"/>
        <w:bottom w:val="none" w:sz="0" w:space="0" w:color="auto"/>
        <w:right w:val="none" w:sz="0" w:space="0" w:color="auto"/>
      </w:divBdr>
    </w:div>
    <w:div w:id="1880429171">
      <w:bodyDiv w:val="1"/>
      <w:marLeft w:val="0"/>
      <w:marRight w:val="0"/>
      <w:marTop w:val="0"/>
      <w:marBottom w:val="0"/>
      <w:divBdr>
        <w:top w:val="none" w:sz="0" w:space="0" w:color="auto"/>
        <w:left w:val="none" w:sz="0" w:space="0" w:color="auto"/>
        <w:bottom w:val="none" w:sz="0" w:space="0" w:color="auto"/>
        <w:right w:val="none" w:sz="0" w:space="0" w:color="auto"/>
      </w:divBdr>
    </w:div>
    <w:div w:id="1888251419">
      <w:bodyDiv w:val="1"/>
      <w:marLeft w:val="0"/>
      <w:marRight w:val="0"/>
      <w:marTop w:val="0"/>
      <w:marBottom w:val="0"/>
      <w:divBdr>
        <w:top w:val="none" w:sz="0" w:space="0" w:color="auto"/>
        <w:left w:val="none" w:sz="0" w:space="0" w:color="auto"/>
        <w:bottom w:val="none" w:sz="0" w:space="0" w:color="auto"/>
        <w:right w:val="none" w:sz="0" w:space="0" w:color="auto"/>
      </w:divBdr>
    </w:div>
    <w:div w:id="1900556489">
      <w:bodyDiv w:val="1"/>
      <w:marLeft w:val="0"/>
      <w:marRight w:val="0"/>
      <w:marTop w:val="0"/>
      <w:marBottom w:val="0"/>
      <w:divBdr>
        <w:top w:val="none" w:sz="0" w:space="0" w:color="auto"/>
        <w:left w:val="none" w:sz="0" w:space="0" w:color="auto"/>
        <w:bottom w:val="none" w:sz="0" w:space="0" w:color="auto"/>
        <w:right w:val="none" w:sz="0" w:space="0" w:color="auto"/>
      </w:divBdr>
    </w:div>
    <w:div w:id="1919905268">
      <w:bodyDiv w:val="1"/>
      <w:marLeft w:val="0"/>
      <w:marRight w:val="0"/>
      <w:marTop w:val="0"/>
      <w:marBottom w:val="0"/>
      <w:divBdr>
        <w:top w:val="none" w:sz="0" w:space="0" w:color="auto"/>
        <w:left w:val="none" w:sz="0" w:space="0" w:color="auto"/>
        <w:bottom w:val="none" w:sz="0" w:space="0" w:color="auto"/>
        <w:right w:val="none" w:sz="0" w:space="0" w:color="auto"/>
      </w:divBdr>
    </w:div>
    <w:div w:id="1929730042">
      <w:bodyDiv w:val="1"/>
      <w:marLeft w:val="0"/>
      <w:marRight w:val="0"/>
      <w:marTop w:val="0"/>
      <w:marBottom w:val="0"/>
      <w:divBdr>
        <w:top w:val="none" w:sz="0" w:space="0" w:color="auto"/>
        <w:left w:val="none" w:sz="0" w:space="0" w:color="auto"/>
        <w:bottom w:val="none" w:sz="0" w:space="0" w:color="auto"/>
        <w:right w:val="none" w:sz="0" w:space="0" w:color="auto"/>
      </w:divBdr>
    </w:div>
    <w:div w:id="1949727856">
      <w:bodyDiv w:val="1"/>
      <w:marLeft w:val="0"/>
      <w:marRight w:val="0"/>
      <w:marTop w:val="0"/>
      <w:marBottom w:val="0"/>
      <w:divBdr>
        <w:top w:val="none" w:sz="0" w:space="0" w:color="auto"/>
        <w:left w:val="none" w:sz="0" w:space="0" w:color="auto"/>
        <w:bottom w:val="none" w:sz="0" w:space="0" w:color="auto"/>
        <w:right w:val="none" w:sz="0" w:space="0" w:color="auto"/>
      </w:divBdr>
    </w:div>
    <w:div w:id="1955286627">
      <w:bodyDiv w:val="1"/>
      <w:marLeft w:val="0"/>
      <w:marRight w:val="0"/>
      <w:marTop w:val="0"/>
      <w:marBottom w:val="0"/>
      <w:divBdr>
        <w:top w:val="none" w:sz="0" w:space="0" w:color="auto"/>
        <w:left w:val="none" w:sz="0" w:space="0" w:color="auto"/>
        <w:bottom w:val="none" w:sz="0" w:space="0" w:color="auto"/>
        <w:right w:val="none" w:sz="0" w:space="0" w:color="auto"/>
      </w:divBdr>
    </w:div>
    <w:div w:id="1962035463">
      <w:bodyDiv w:val="1"/>
      <w:marLeft w:val="0"/>
      <w:marRight w:val="0"/>
      <w:marTop w:val="0"/>
      <w:marBottom w:val="0"/>
      <w:divBdr>
        <w:top w:val="none" w:sz="0" w:space="0" w:color="auto"/>
        <w:left w:val="none" w:sz="0" w:space="0" w:color="auto"/>
        <w:bottom w:val="none" w:sz="0" w:space="0" w:color="auto"/>
        <w:right w:val="none" w:sz="0" w:space="0" w:color="auto"/>
      </w:divBdr>
    </w:div>
    <w:div w:id="1972593005">
      <w:bodyDiv w:val="1"/>
      <w:marLeft w:val="0"/>
      <w:marRight w:val="0"/>
      <w:marTop w:val="0"/>
      <w:marBottom w:val="0"/>
      <w:divBdr>
        <w:top w:val="none" w:sz="0" w:space="0" w:color="auto"/>
        <w:left w:val="none" w:sz="0" w:space="0" w:color="auto"/>
        <w:bottom w:val="none" w:sz="0" w:space="0" w:color="auto"/>
        <w:right w:val="none" w:sz="0" w:space="0" w:color="auto"/>
      </w:divBdr>
    </w:div>
    <w:div w:id="1973831162">
      <w:bodyDiv w:val="1"/>
      <w:marLeft w:val="0"/>
      <w:marRight w:val="0"/>
      <w:marTop w:val="0"/>
      <w:marBottom w:val="0"/>
      <w:divBdr>
        <w:top w:val="none" w:sz="0" w:space="0" w:color="auto"/>
        <w:left w:val="none" w:sz="0" w:space="0" w:color="auto"/>
        <w:bottom w:val="none" w:sz="0" w:space="0" w:color="auto"/>
        <w:right w:val="none" w:sz="0" w:space="0" w:color="auto"/>
      </w:divBdr>
    </w:div>
    <w:div w:id="2006198394">
      <w:bodyDiv w:val="1"/>
      <w:marLeft w:val="0"/>
      <w:marRight w:val="0"/>
      <w:marTop w:val="0"/>
      <w:marBottom w:val="0"/>
      <w:divBdr>
        <w:top w:val="none" w:sz="0" w:space="0" w:color="auto"/>
        <w:left w:val="none" w:sz="0" w:space="0" w:color="auto"/>
        <w:bottom w:val="none" w:sz="0" w:space="0" w:color="auto"/>
        <w:right w:val="none" w:sz="0" w:space="0" w:color="auto"/>
      </w:divBdr>
    </w:div>
    <w:div w:id="2020614259">
      <w:bodyDiv w:val="1"/>
      <w:marLeft w:val="0"/>
      <w:marRight w:val="0"/>
      <w:marTop w:val="0"/>
      <w:marBottom w:val="0"/>
      <w:divBdr>
        <w:top w:val="none" w:sz="0" w:space="0" w:color="auto"/>
        <w:left w:val="none" w:sz="0" w:space="0" w:color="auto"/>
        <w:bottom w:val="none" w:sz="0" w:space="0" w:color="auto"/>
        <w:right w:val="none" w:sz="0" w:space="0" w:color="auto"/>
      </w:divBdr>
    </w:div>
    <w:div w:id="204046701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81711236">
      <w:bodyDiv w:val="1"/>
      <w:marLeft w:val="0"/>
      <w:marRight w:val="0"/>
      <w:marTop w:val="0"/>
      <w:marBottom w:val="0"/>
      <w:divBdr>
        <w:top w:val="none" w:sz="0" w:space="0" w:color="auto"/>
        <w:left w:val="none" w:sz="0" w:space="0" w:color="auto"/>
        <w:bottom w:val="none" w:sz="0" w:space="0" w:color="auto"/>
        <w:right w:val="none" w:sz="0" w:space="0" w:color="auto"/>
      </w:divBdr>
    </w:div>
    <w:div w:id="2100326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D151-8CF9-47EB-936A-FA2910600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2CB52-C232-4F98-ABCB-A8FBB9EF4227}">
  <ds:schemaRefs>
    <ds:schemaRef ds:uri="http://schemas.microsoft.com/sharepoint/v3/contenttype/forms"/>
  </ds:schemaRefs>
</ds:datastoreItem>
</file>

<file path=customXml/itemProps3.xml><?xml version="1.0" encoding="utf-8"?>
<ds:datastoreItem xmlns:ds="http://schemas.openxmlformats.org/officeDocument/2006/customXml" ds:itemID="{67FA7C99-B853-4E80-A1D7-FD66D39A4D05}">
  <ds:schemaRefs>
    <ds:schemaRef ds:uri="http://schemas.microsoft.com/office/2006/metadata/properties"/>
    <ds:schemaRef ds:uri="http://schemas.microsoft.com/office/infopath/2007/PartnerControls"/>
    <ds:schemaRef ds:uri="http://schemas.microsoft.com/sharepoint/v3"/>
    <ds:schemaRef ds:uri="ce3f5dd3-74c3-4def-95f3-edd87babe067"/>
  </ds:schemaRefs>
</ds:datastoreItem>
</file>

<file path=customXml/itemProps4.xml><?xml version="1.0" encoding="utf-8"?>
<ds:datastoreItem xmlns:ds="http://schemas.openxmlformats.org/officeDocument/2006/customXml" ds:itemID="{44ACF4C1-5005-47E5-A027-26A3C05A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26159</CharactersWithSpaces>
  <SharedDoc>false</SharedDoc>
  <HLinks>
    <vt:vector size="468" baseType="variant">
      <vt:variant>
        <vt:i4>1572961</vt:i4>
      </vt:variant>
      <vt:variant>
        <vt:i4>240</vt:i4>
      </vt:variant>
      <vt:variant>
        <vt:i4>0</vt:i4>
      </vt:variant>
      <vt:variant>
        <vt:i4>5</vt:i4>
      </vt:variant>
      <vt:variant>
        <vt:lpwstr>mailto:england.contractshelp@nhs.net</vt:lpwstr>
      </vt:variant>
      <vt:variant>
        <vt:lpwstr/>
      </vt:variant>
      <vt:variant>
        <vt:i4>131077</vt:i4>
      </vt:variant>
      <vt:variant>
        <vt:i4>237</vt:i4>
      </vt:variant>
      <vt:variant>
        <vt:i4>0</vt:i4>
      </vt:variant>
      <vt:variant>
        <vt:i4>5</vt:i4>
      </vt:variant>
      <vt:variant>
        <vt:lpwstr>http://www.england.nhs.uk/nhs-standard-contract/</vt:lpwstr>
      </vt:variant>
      <vt:variant>
        <vt:lpwstr/>
      </vt:variant>
      <vt:variant>
        <vt:i4>6881343</vt:i4>
      </vt:variant>
      <vt:variant>
        <vt:i4>234</vt:i4>
      </vt:variant>
      <vt:variant>
        <vt:i4>0</vt:i4>
      </vt:variant>
      <vt:variant>
        <vt:i4>5</vt:i4>
      </vt:variant>
      <vt:variant>
        <vt:lpwstr>https://gbr01.safelinks.protection.outlook.com/?url=https%3A%2F%2Fwww.england.nhs.uk%2Flearning-disabilities%2Fabout%2Fask-listen-do%2F&amp;data=05%7C01%7Cmichelle.coleman2%40nhs.net%7Cc5e8f861f48d4c7f197c08dac2315493%7C37c354b285b047f5b22207b48d774ee3%7C0%7C0%7C638035814364189464%7CUnknown%7CTWFpbGZsb3d8eyJWIjoiMC4wLjAwMDAiLCJQIjoiV2luMzIiLCJBTiI6Ik1haWwiLCJXVCI6Mn0%3D%7C3000%7C%7C%7C&amp;sdata=ABFQmV8hi428dR8Y3FFutTeSm6Dv5kh3ge38B6zg18Y%3D&amp;reserved=0</vt:lpwstr>
      </vt:variant>
      <vt:variant>
        <vt:lpwstr/>
      </vt:variant>
      <vt:variant>
        <vt:i4>3801215</vt:i4>
      </vt:variant>
      <vt:variant>
        <vt:i4>231</vt:i4>
      </vt:variant>
      <vt:variant>
        <vt:i4>0</vt:i4>
      </vt:variant>
      <vt:variant>
        <vt:i4>5</vt:i4>
      </vt:variant>
      <vt:variant>
        <vt:lpwstr>https://gbr01.safelinks.protection.outlook.com/?url=https%3A%2F%2Fwww.myplannedcare.nhs.uk%2F&amp;data=05%7C01%7Calastair.hill%40nhs.net%7C2438033fd6c945caffee08dac0a386ba%7C37c354b285b047f5b22207b48d774ee3%7C0%7C0%7C638034105807432096%7CUnknown%7CTWFpbGZsb3d8eyJWIjoiMC4wLjAwMDAiLCJQIjoiV2luMzIiLCJBTiI6Ik1haWwiLCJXVCI6Mn0%3D%7C3000%7C%7C%7C&amp;sdata=tjpCWugcXMa6WZVCMr%2Frr3UGsGzrVJkHk5cQhk5daKs%3D&amp;reserved=0</vt:lpwstr>
      </vt:variant>
      <vt:variant>
        <vt:lpwstr/>
      </vt:variant>
      <vt:variant>
        <vt:i4>2293876</vt:i4>
      </vt:variant>
      <vt:variant>
        <vt:i4>228</vt:i4>
      </vt:variant>
      <vt:variant>
        <vt:i4>0</vt:i4>
      </vt:variant>
      <vt:variant>
        <vt:i4>5</vt:i4>
      </vt:variant>
      <vt:variant>
        <vt:lpwstr>https://www.england.nhs.uk/publication/mental-health-clinically-led-review-of-standards-models-of-care-and-measurement/</vt:lpwstr>
      </vt:variant>
      <vt:variant>
        <vt:lpwstr/>
      </vt:variant>
      <vt:variant>
        <vt:i4>7012468</vt:i4>
      </vt:variant>
      <vt:variant>
        <vt:i4>225</vt:i4>
      </vt:variant>
      <vt:variant>
        <vt:i4>0</vt:i4>
      </vt:variant>
      <vt:variant>
        <vt:i4>5</vt:i4>
      </vt:variant>
      <vt:variant>
        <vt:lpwstr>https://www.england.nhs.uk/nhs-standard-contract/dc-reporting/</vt:lpwstr>
      </vt:variant>
      <vt:variant>
        <vt:lpwstr/>
      </vt:variant>
      <vt:variant>
        <vt:i4>7012468</vt:i4>
      </vt:variant>
      <vt:variant>
        <vt:i4>222</vt:i4>
      </vt:variant>
      <vt:variant>
        <vt:i4>0</vt:i4>
      </vt:variant>
      <vt:variant>
        <vt:i4>5</vt:i4>
      </vt:variant>
      <vt:variant>
        <vt:lpwstr>https://www.england.nhs.uk/nhs-standard-contract/dc-reporting/</vt:lpwstr>
      </vt:variant>
      <vt:variant>
        <vt:lpwstr/>
      </vt:variant>
      <vt:variant>
        <vt:i4>7012468</vt:i4>
      </vt:variant>
      <vt:variant>
        <vt:i4>219</vt:i4>
      </vt:variant>
      <vt:variant>
        <vt:i4>0</vt:i4>
      </vt:variant>
      <vt:variant>
        <vt:i4>5</vt:i4>
      </vt:variant>
      <vt:variant>
        <vt:lpwstr>https://www.england.nhs.uk/nhs-standard-contract/dc-reporting/</vt:lpwstr>
      </vt:variant>
      <vt:variant>
        <vt:lpwstr/>
      </vt:variant>
      <vt:variant>
        <vt:i4>7012468</vt:i4>
      </vt:variant>
      <vt:variant>
        <vt:i4>216</vt:i4>
      </vt:variant>
      <vt:variant>
        <vt:i4>0</vt:i4>
      </vt:variant>
      <vt:variant>
        <vt:i4>5</vt:i4>
      </vt:variant>
      <vt:variant>
        <vt:lpwstr>https://www.england.nhs.uk/nhs-standard-contract/dc-reporting/</vt:lpwstr>
      </vt:variant>
      <vt:variant>
        <vt:lpwstr/>
      </vt:variant>
      <vt:variant>
        <vt:i4>5636124</vt:i4>
      </vt:variant>
      <vt:variant>
        <vt:i4>213</vt:i4>
      </vt:variant>
      <vt:variant>
        <vt:i4>0</vt:i4>
      </vt:variant>
      <vt:variant>
        <vt:i4>5</vt:i4>
      </vt:variant>
      <vt:variant>
        <vt:lpwstr>https://digital.nhs.uk/data-and-information/data-tools-and-services/data-services/patient-reported-outcome-measures-proms</vt:lpwstr>
      </vt:variant>
      <vt:variant>
        <vt:lpwstr/>
      </vt:variant>
      <vt:variant>
        <vt:i4>1376346</vt:i4>
      </vt:variant>
      <vt:variant>
        <vt:i4>210</vt:i4>
      </vt:variant>
      <vt:variant>
        <vt:i4>0</vt:i4>
      </vt:variant>
      <vt:variant>
        <vt:i4>5</vt:i4>
      </vt:variant>
      <vt:variant>
        <vt:lpwstr>https://digital.nhs.uk/data-and-information/data-collections-and-data-sets/data-sets/emergency-care-data-set-ecds/ecds-latest-update</vt:lpwstr>
      </vt:variant>
      <vt:variant>
        <vt:lpwstr/>
      </vt:variant>
      <vt:variant>
        <vt:i4>6357116</vt:i4>
      </vt:variant>
      <vt:variant>
        <vt:i4>207</vt:i4>
      </vt:variant>
      <vt:variant>
        <vt:i4>0</vt:i4>
      </vt:variant>
      <vt:variant>
        <vt:i4>5</vt:i4>
      </vt:variant>
      <vt:variant>
        <vt:lpwstr>https://digital.nhs.uk/isce/publication/nhs-standard-contract-approved-collections</vt:lpwstr>
      </vt:variant>
      <vt:variant>
        <vt:lpwstr/>
      </vt:variant>
      <vt:variant>
        <vt:i4>3014719</vt:i4>
      </vt:variant>
      <vt:variant>
        <vt:i4>204</vt:i4>
      </vt:variant>
      <vt:variant>
        <vt:i4>0</vt:i4>
      </vt:variant>
      <vt:variant>
        <vt:i4>5</vt:i4>
      </vt:variant>
      <vt:variant>
        <vt:lpwstr>https://www.england.nhs.uk/publication/mental-health-investment-standard-mhis-categories-of-mental-health-expenditure/</vt:lpwstr>
      </vt:variant>
      <vt:variant>
        <vt:lpwstr/>
      </vt:variant>
      <vt:variant>
        <vt:i4>3407976</vt:i4>
      </vt:variant>
      <vt:variant>
        <vt:i4>201</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3407976</vt:i4>
      </vt:variant>
      <vt:variant>
        <vt:i4>198</vt:i4>
      </vt:variant>
      <vt:variant>
        <vt:i4>0</vt:i4>
      </vt:variant>
      <vt:variant>
        <vt:i4>5</vt:i4>
      </vt:variant>
      <vt:variant>
        <vt:lpwstr>https://gbr01.safelinks.protection.outlook.com/?url=https%3A%2F%2Fwww.england.nhs.uk%2Fpay-syst%2Fnhs-payment-scheme%2F&amp;data=05%7C01%7Cmichelle.coleman2%40nhs.net%7Cad3f3b3b7ed64f6b76fe08db05d718a3%7C37c354b285b047f5b22207b48d774ee3%7C0%7C0%7C638110193599055395%7CUnknown%7CTWFpbGZsb3d8eyJWIjoiMC4wLjAwMDAiLCJQIjoiV2luMzIiLCJBTiI6Ik1haWwiLCJXVCI6Mn0%3D%7C3000%7C%7C%7C&amp;sdata=1HTEpbdqTZ42LZwDu7ASn2psFX47E%2F13sGrk4Wch8u8%3D&amp;reserved=0</vt:lpwstr>
      </vt:variant>
      <vt:variant>
        <vt:lpwstr/>
      </vt:variant>
      <vt:variant>
        <vt:i4>4587600</vt:i4>
      </vt:variant>
      <vt:variant>
        <vt:i4>195</vt:i4>
      </vt:variant>
      <vt:variant>
        <vt:i4>0</vt:i4>
      </vt:variant>
      <vt:variant>
        <vt:i4>5</vt:i4>
      </vt:variant>
      <vt:variant>
        <vt:lpwstr>https://www.gov.uk/government/statistics/english-indices-of-deprivation-2019</vt:lpwstr>
      </vt:variant>
      <vt:variant>
        <vt:lpwstr/>
      </vt:variant>
      <vt:variant>
        <vt:i4>6488162</vt:i4>
      </vt:variant>
      <vt:variant>
        <vt:i4>192</vt:i4>
      </vt:variant>
      <vt:variant>
        <vt:i4>0</vt:i4>
      </vt:variant>
      <vt:variant>
        <vt:i4>5</vt:i4>
      </vt:variant>
      <vt:variant>
        <vt:lpwstr>https://www.england.nhs.uk/about/equality/equality-hub/core20plus5/</vt:lpwstr>
      </vt:variant>
      <vt:variant>
        <vt:lpwstr/>
      </vt:variant>
      <vt:variant>
        <vt:i4>4259907</vt:i4>
      </vt:variant>
      <vt:variant>
        <vt:i4>189</vt:i4>
      </vt:variant>
      <vt:variant>
        <vt:i4>0</vt:i4>
      </vt:variant>
      <vt:variant>
        <vt:i4>5</vt:i4>
      </vt:variant>
      <vt:variant>
        <vt:lpwstr>https://www.england.nhs.uk/about/equality/equality-hub/national-healthcare-inequalities-improvement-programme/data-and-insight/hi-improvement-dashboard/</vt:lpwstr>
      </vt:variant>
      <vt:variant>
        <vt:lpwstr/>
      </vt:variant>
      <vt:variant>
        <vt:i4>7864439</vt:i4>
      </vt:variant>
      <vt:variant>
        <vt:i4>183</vt:i4>
      </vt:variant>
      <vt:variant>
        <vt:i4>0</vt:i4>
      </vt:variant>
      <vt:variant>
        <vt:i4>5</vt:i4>
      </vt:variant>
      <vt:variant>
        <vt:lpwstr>https://www.england.nhs.uk/about/equality/equality-hub/national-healthcare-inequalities-improvement-programme/data-and-insight/</vt:lpwstr>
      </vt:variant>
      <vt:variant>
        <vt:lpwstr/>
      </vt:variant>
      <vt:variant>
        <vt:i4>7340136</vt:i4>
      </vt:variant>
      <vt:variant>
        <vt:i4>180</vt:i4>
      </vt:variant>
      <vt:variant>
        <vt:i4>0</vt:i4>
      </vt:variant>
      <vt:variant>
        <vt:i4>5</vt:i4>
      </vt:variant>
      <vt:variant>
        <vt:lpwstr>https://www.england.nhs.uk/about/equality/equality-hub/</vt:lpwstr>
      </vt:variant>
      <vt:variant>
        <vt:lpwstr/>
      </vt:variant>
      <vt:variant>
        <vt:i4>8126516</vt:i4>
      </vt:variant>
      <vt:variant>
        <vt:i4>174</vt:i4>
      </vt:variant>
      <vt:variant>
        <vt:i4>0</vt:i4>
      </vt:variant>
      <vt:variant>
        <vt:i4>5</vt:i4>
      </vt:variant>
      <vt:variant>
        <vt:lpwstr>https://www.england.nhs.uk/nhs-at-home/</vt:lpwstr>
      </vt:variant>
      <vt:variant>
        <vt:lpwstr/>
      </vt:variant>
      <vt:variant>
        <vt:i4>4718683</vt:i4>
      </vt:variant>
      <vt:variant>
        <vt:i4>171</vt:i4>
      </vt:variant>
      <vt:variant>
        <vt:i4>0</vt:i4>
      </vt:variant>
      <vt:variant>
        <vt:i4>5</vt:i4>
      </vt:variant>
      <vt:variant>
        <vt:lpwstr>https://www.england.nhs.uk/publication/social-prescribing-and-community-based-support-summary-guide/</vt:lpwstr>
      </vt:variant>
      <vt:variant>
        <vt:lpwstr/>
      </vt:variant>
      <vt:variant>
        <vt:i4>4718683</vt:i4>
      </vt:variant>
      <vt:variant>
        <vt:i4>168</vt:i4>
      </vt:variant>
      <vt:variant>
        <vt:i4>0</vt:i4>
      </vt:variant>
      <vt:variant>
        <vt:i4>5</vt:i4>
      </vt:variant>
      <vt:variant>
        <vt:lpwstr>https://www.england.nhs.uk/publication/social-prescribing-and-community-based-support-summary-guide/</vt:lpwstr>
      </vt:variant>
      <vt:variant>
        <vt:lpwstr/>
      </vt:variant>
      <vt:variant>
        <vt:i4>4849740</vt:i4>
      </vt:variant>
      <vt:variant>
        <vt:i4>165</vt:i4>
      </vt:variant>
      <vt:variant>
        <vt:i4>0</vt:i4>
      </vt:variant>
      <vt:variant>
        <vt:i4>5</vt:i4>
      </vt:variant>
      <vt:variant>
        <vt:lpwstr>https://theprsb.org/standards/personalisedcareandsupportplan/</vt:lpwstr>
      </vt:variant>
      <vt:variant>
        <vt:lpwstr/>
      </vt:variant>
      <vt:variant>
        <vt:i4>4980815</vt:i4>
      </vt:variant>
      <vt:variant>
        <vt:i4>162</vt:i4>
      </vt:variant>
      <vt:variant>
        <vt:i4>0</vt:i4>
      </vt:variant>
      <vt:variant>
        <vt:i4>5</vt:i4>
      </vt:variant>
      <vt:variant>
        <vt:lpwstr>https://www.personalisedcareinstitute.org.uk/</vt:lpwstr>
      </vt:variant>
      <vt:variant>
        <vt:lpwstr/>
      </vt:variant>
      <vt:variant>
        <vt:i4>4849736</vt:i4>
      </vt:variant>
      <vt:variant>
        <vt:i4>159</vt:i4>
      </vt:variant>
      <vt:variant>
        <vt:i4>0</vt:i4>
      </vt:variant>
      <vt:variant>
        <vt:i4>5</vt:i4>
      </vt:variant>
      <vt:variant>
        <vt:lpwstr>https://www.england.nhs.uk/shared-decision-making/decision-support-tools/</vt:lpwstr>
      </vt:variant>
      <vt:variant>
        <vt:lpwstr/>
      </vt:variant>
      <vt:variant>
        <vt:i4>4980815</vt:i4>
      </vt:variant>
      <vt:variant>
        <vt:i4>156</vt:i4>
      </vt:variant>
      <vt:variant>
        <vt:i4>0</vt:i4>
      </vt:variant>
      <vt:variant>
        <vt:i4>5</vt:i4>
      </vt:variant>
      <vt:variant>
        <vt:lpwstr>https://www.personalisedcareinstitute.org.uk/</vt:lpwstr>
      </vt:variant>
      <vt:variant>
        <vt:lpwstr/>
      </vt:variant>
      <vt:variant>
        <vt:i4>6553641</vt:i4>
      </vt:variant>
      <vt:variant>
        <vt:i4>153</vt:i4>
      </vt:variant>
      <vt:variant>
        <vt:i4>0</vt:i4>
      </vt:variant>
      <vt:variant>
        <vt:i4>5</vt:i4>
      </vt:variant>
      <vt:variant>
        <vt:lpwstr>https://www.nice.org.uk/guidance/ng197</vt:lpwstr>
      </vt:variant>
      <vt:variant>
        <vt:lpwstr/>
      </vt:variant>
      <vt:variant>
        <vt:i4>3211303</vt:i4>
      </vt:variant>
      <vt:variant>
        <vt:i4>150</vt:i4>
      </vt:variant>
      <vt:variant>
        <vt:i4>0</vt:i4>
      </vt:variant>
      <vt:variant>
        <vt:i4>5</vt:i4>
      </vt:variant>
      <vt:variant>
        <vt:lpwstr>https://www.england.nhs.uk/shared-decision-making/</vt:lpwstr>
      </vt:variant>
      <vt:variant>
        <vt:lpwstr/>
      </vt:variant>
      <vt:variant>
        <vt:i4>3080235</vt:i4>
      </vt:variant>
      <vt:variant>
        <vt:i4>147</vt:i4>
      </vt:variant>
      <vt:variant>
        <vt:i4>0</vt:i4>
      </vt:variant>
      <vt:variant>
        <vt:i4>5</vt:i4>
      </vt:variant>
      <vt:variant>
        <vt:lpwstr>https://gbr01.safelinks.protection.outlook.com/?url=https%3A%2F%2Fwww.england.nhs.uk%2Fpublication%2Funiversal-personalised-care-implementing-the-comprehensive-model%2F&amp;data=05%7C01%7Cmichelle.coleman2%40nhs.net%7C33d28a9184d2419d16f108dade78ef11%7C37c354b285b047f5b22207b48d774ee3%7C0%7C0%7C638066908223093912%7CUnknown%7CTWFpbGZsb3d8eyJWIjoiMC4wLjAwMDAiLCJQIjoiV2luMzIiLCJBTiI6Ik1haWwiLCJXVCI6Mn0%3D%7C3000%7C%7C%7C&amp;sdata=TEpxXBhl4UP40BcjysfykzC6mONwi0hpXHLr7X8KO2w%3D&amp;reserved=0</vt:lpwstr>
      </vt:variant>
      <vt:variant>
        <vt:lpwstr/>
      </vt:variant>
      <vt:variant>
        <vt:i4>1900614</vt:i4>
      </vt:variant>
      <vt:variant>
        <vt:i4>144</vt:i4>
      </vt:variant>
      <vt:variant>
        <vt:i4>0</vt:i4>
      </vt:variant>
      <vt:variant>
        <vt:i4>5</vt:i4>
      </vt:variant>
      <vt:variant>
        <vt:lpwstr>https://www.england.nhs.uk/nhs-standard-contract/</vt:lpwstr>
      </vt:variant>
      <vt:variant>
        <vt:lpwstr/>
      </vt:variant>
      <vt:variant>
        <vt:i4>6750265</vt:i4>
      </vt:variant>
      <vt:variant>
        <vt:i4>141</vt:i4>
      </vt:variant>
      <vt:variant>
        <vt:i4>0</vt:i4>
      </vt:variant>
      <vt:variant>
        <vt:i4>5</vt:i4>
      </vt:variant>
      <vt:variant>
        <vt:lpwstr>https://www.england.nhs.uk/publication/subcontract-for-the-provision-of-services-related-to-the-network-contract-directed-enhanced-service-2022-23/</vt:lpwstr>
      </vt:variant>
      <vt:variant>
        <vt:lpwstr/>
      </vt:variant>
      <vt:variant>
        <vt:i4>4522076</vt:i4>
      </vt:variant>
      <vt:variant>
        <vt:i4>138</vt:i4>
      </vt:variant>
      <vt:variant>
        <vt:i4>0</vt:i4>
      </vt:variant>
      <vt:variant>
        <vt:i4>5</vt:i4>
      </vt:variant>
      <vt:variant>
        <vt:lpwstr>https://www.england.nhs.uk/gp/investment/gp-contract/</vt:lpwstr>
      </vt:variant>
      <vt:variant>
        <vt:lpwstr/>
      </vt:variant>
      <vt:variant>
        <vt:i4>5242896</vt:i4>
      </vt:variant>
      <vt:variant>
        <vt:i4>135</vt:i4>
      </vt:variant>
      <vt:variant>
        <vt:i4>0</vt:i4>
      </vt:variant>
      <vt:variant>
        <vt:i4>5</vt:i4>
      </vt:variant>
      <vt:variant>
        <vt:lpwstr>https://www.nice.org.uk/guidance/ng27</vt:lpwstr>
      </vt:variant>
      <vt:variant>
        <vt:lpwstr/>
      </vt:variant>
      <vt:variant>
        <vt:i4>1900614</vt:i4>
      </vt:variant>
      <vt:variant>
        <vt:i4>132</vt:i4>
      </vt:variant>
      <vt:variant>
        <vt:i4>0</vt:i4>
      </vt:variant>
      <vt:variant>
        <vt:i4>5</vt:i4>
      </vt:variant>
      <vt:variant>
        <vt:lpwstr>https://www.england.nhs.uk/nhs-standard-contract/</vt:lpwstr>
      </vt:variant>
      <vt:variant>
        <vt:lpwstr/>
      </vt:variant>
      <vt:variant>
        <vt:i4>2490473</vt:i4>
      </vt:variant>
      <vt:variant>
        <vt:i4>129</vt:i4>
      </vt:variant>
      <vt:variant>
        <vt:i4>0</vt:i4>
      </vt:variant>
      <vt:variant>
        <vt:i4>5</vt:i4>
      </vt:variant>
      <vt:variant>
        <vt:lpwstr>https://www.england.nhs.uk/nhs-standard-contract/;</vt:lpwstr>
      </vt:variant>
      <vt:variant>
        <vt:lpwstr/>
      </vt:variant>
      <vt:variant>
        <vt:i4>1900593</vt:i4>
      </vt:variant>
      <vt:variant>
        <vt:i4>125</vt:i4>
      </vt:variant>
      <vt:variant>
        <vt:i4>0</vt:i4>
      </vt:variant>
      <vt:variant>
        <vt:i4>5</vt:i4>
      </vt:variant>
      <vt:variant>
        <vt:lpwstr/>
      </vt:variant>
      <vt:variant>
        <vt:lpwstr>_Toc121924356</vt:lpwstr>
      </vt:variant>
      <vt:variant>
        <vt:i4>1900593</vt:i4>
      </vt:variant>
      <vt:variant>
        <vt:i4>122</vt:i4>
      </vt:variant>
      <vt:variant>
        <vt:i4>0</vt:i4>
      </vt:variant>
      <vt:variant>
        <vt:i4>5</vt:i4>
      </vt:variant>
      <vt:variant>
        <vt:lpwstr/>
      </vt:variant>
      <vt:variant>
        <vt:lpwstr>_Toc121924355</vt:lpwstr>
      </vt:variant>
      <vt:variant>
        <vt:i4>1900593</vt:i4>
      </vt:variant>
      <vt:variant>
        <vt:i4>119</vt:i4>
      </vt:variant>
      <vt:variant>
        <vt:i4>0</vt:i4>
      </vt:variant>
      <vt:variant>
        <vt:i4>5</vt:i4>
      </vt:variant>
      <vt:variant>
        <vt:lpwstr/>
      </vt:variant>
      <vt:variant>
        <vt:lpwstr>_Toc121924354</vt:lpwstr>
      </vt:variant>
      <vt:variant>
        <vt:i4>1900593</vt:i4>
      </vt:variant>
      <vt:variant>
        <vt:i4>116</vt:i4>
      </vt:variant>
      <vt:variant>
        <vt:i4>0</vt:i4>
      </vt:variant>
      <vt:variant>
        <vt:i4>5</vt:i4>
      </vt:variant>
      <vt:variant>
        <vt:lpwstr/>
      </vt:variant>
      <vt:variant>
        <vt:lpwstr>_Toc121924353</vt:lpwstr>
      </vt:variant>
      <vt:variant>
        <vt:i4>1900593</vt:i4>
      </vt:variant>
      <vt:variant>
        <vt:i4>113</vt:i4>
      </vt:variant>
      <vt:variant>
        <vt:i4>0</vt:i4>
      </vt:variant>
      <vt:variant>
        <vt:i4>5</vt:i4>
      </vt:variant>
      <vt:variant>
        <vt:lpwstr/>
      </vt:variant>
      <vt:variant>
        <vt:lpwstr>_Toc121924352</vt:lpwstr>
      </vt:variant>
      <vt:variant>
        <vt:i4>1900593</vt:i4>
      </vt:variant>
      <vt:variant>
        <vt:i4>110</vt:i4>
      </vt:variant>
      <vt:variant>
        <vt:i4>0</vt:i4>
      </vt:variant>
      <vt:variant>
        <vt:i4>5</vt:i4>
      </vt:variant>
      <vt:variant>
        <vt:lpwstr/>
      </vt:variant>
      <vt:variant>
        <vt:lpwstr>_Toc121924351</vt:lpwstr>
      </vt:variant>
      <vt:variant>
        <vt:i4>1900593</vt:i4>
      </vt:variant>
      <vt:variant>
        <vt:i4>107</vt:i4>
      </vt:variant>
      <vt:variant>
        <vt:i4>0</vt:i4>
      </vt:variant>
      <vt:variant>
        <vt:i4>5</vt:i4>
      </vt:variant>
      <vt:variant>
        <vt:lpwstr/>
      </vt:variant>
      <vt:variant>
        <vt:lpwstr>_Toc121924350</vt:lpwstr>
      </vt:variant>
      <vt:variant>
        <vt:i4>1835057</vt:i4>
      </vt:variant>
      <vt:variant>
        <vt:i4>104</vt:i4>
      </vt:variant>
      <vt:variant>
        <vt:i4>0</vt:i4>
      </vt:variant>
      <vt:variant>
        <vt:i4>5</vt:i4>
      </vt:variant>
      <vt:variant>
        <vt:lpwstr/>
      </vt:variant>
      <vt:variant>
        <vt:lpwstr>_Toc121924349</vt:lpwstr>
      </vt:variant>
      <vt:variant>
        <vt:i4>1835057</vt:i4>
      </vt:variant>
      <vt:variant>
        <vt:i4>101</vt:i4>
      </vt:variant>
      <vt:variant>
        <vt:i4>0</vt:i4>
      </vt:variant>
      <vt:variant>
        <vt:i4>5</vt:i4>
      </vt:variant>
      <vt:variant>
        <vt:lpwstr/>
      </vt:variant>
      <vt:variant>
        <vt:lpwstr>_Toc121924348</vt:lpwstr>
      </vt:variant>
      <vt:variant>
        <vt:i4>1835057</vt:i4>
      </vt:variant>
      <vt:variant>
        <vt:i4>98</vt:i4>
      </vt:variant>
      <vt:variant>
        <vt:i4>0</vt:i4>
      </vt:variant>
      <vt:variant>
        <vt:i4>5</vt:i4>
      </vt:variant>
      <vt:variant>
        <vt:lpwstr/>
      </vt:variant>
      <vt:variant>
        <vt:lpwstr>_Toc121924347</vt:lpwstr>
      </vt:variant>
      <vt:variant>
        <vt:i4>1835057</vt:i4>
      </vt:variant>
      <vt:variant>
        <vt:i4>95</vt:i4>
      </vt:variant>
      <vt:variant>
        <vt:i4>0</vt:i4>
      </vt:variant>
      <vt:variant>
        <vt:i4>5</vt:i4>
      </vt:variant>
      <vt:variant>
        <vt:lpwstr/>
      </vt:variant>
      <vt:variant>
        <vt:lpwstr>_Toc121924346</vt:lpwstr>
      </vt:variant>
      <vt:variant>
        <vt:i4>1835057</vt:i4>
      </vt:variant>
      <vt:variant>
        <vt:i4>92</vt:i4>
      </vt:variant>
      <vt:variant>
        <vt:i4>0</vt:i4>
      </vt:variant>
      <vt:variant>
        <vt:i4>5</vt:i4>
      </vt:variant>
      <vt:variant>
        <vt:lpwstr/>
      </vt:variant>
      <vt:variant>
        <vt:lpwstr>_Toc121924345</vt:lpwstr>
      </vt:variant>
      <vt:variant>
        <vt:i4>1835057</vt:i4>
      </vt:variant>
      <vt:variant>
        <vt:i4>89</vt:i4>
      </vt:variant>
      <vt:variant>
        <vt:i4>0</vt:i4>
      </vt:variant>
      <vt:variant>
        <vt:i4>5</vt:i4>
      </vt:variant>
      <vt:variant>
        <vt:lpwstr/>
      </vt:variant>
      <vt:variant>
        <vt:lpwstr>_Toc121924343</vt:lpwstr>
      </vt:variant>
      <vt:variant>
        <vt:i4>1835057</vt:i4>
      </vt:variant>
      <vt:variant>
        <vt:i4>86</vt:i4>
      </vt:variant>
      <vt:variant>
        <vt:i4>0</vt:i4>
      </vt:variant>
      <vt:variant>
        <vt:i4>5</vt:i4>
      </vt:variant>
      <vt:variant>
        <vt:lpwstr/>
      </vt:variant>
      <vt:variant>
        <vt:lpwstr>_Toc121924342</vt:lpwstr>
      </vt:variant>
      <vt:variant>
        <vt:i4>1835057</vt:i4>
      </vt:variant>
      <vt:variant>
        <vt:i4>83</vt:i4>
      </vt:variant>
      <vt:variant>
        <vt:i4>0</vt:i4>
      </vt:variant>
      <vt:variant>
        <vt:i4>5</vt:i4>
      </vt:variant>
      <vt:variant>
        <vt:lpwstr/>
      </vt:variant>
      <vt:variant>
        <vt:lpwstr>_Toc121924341</vt:lpwstr>
      </vt:variant>
      <vt:variant>
        <vt:i4>1835057</vt:i4>
      </vt:variant>
      <vt:variant>
        <vt:i4>80</vt:i4>
      </vt:variant>
      <vt:variant>
        <vt:i4>0</vt:i4>
      </vt:variant>
      <vt:variant>
        <vt:i4>5</vt:i4>
      </vt:variant>
      <vt:variant>
        <vt:lpwstr/>
      </vt:variant>
      <vt:variant>
        <vt:lpwstr>_Toc121924340</vt:lpwstr>
      </vt:variant>
      <vt:variant>
        <vt:i4>1769521</vt:i4>
      </vt:variant>
      <vt:variant>
        <vt:i4>77</vt:i4>
      </vt:variant>
      <vt:variant>
        <vt:i4>0</vt:i4>
      </vt:variant>
      <vt:variant>
        <vt:i4>5</vt:i4>
      </vt:variant>
      <vt:variant>
        <vt:lpwstr/>
      </vt:variant>
      <vt:variant>
        <vt:lpwstr>_Toc121924339</vt:lpwstr>
      </vt:variant>
      <vt:variant>
        <vt:i4>1769521</vt:i4>
      </vt:variant>
      <vt:variant>
        <vt:i4>74</vt:i4>
      </vt:variant>
      <vt:variant>
        <vt:i4>0</vt:i4>
      </vt:variant>
      <vt:variant>
        <vt:i4>5</vt:i4>
      </vt:variant>
      <vt:variant>
        <vt:lpwstr/>
      </vt:variant>
      <vt:variant>
        <vt:lpwstr>_Toc121924338</vt:lpwstr>
      </vt:variant>
      <vt:variant>
        <vt:i4>1769521</vt:i4>
      </vt:variant>
      <vt:variant>
        <vt:i4>71</vt:i4>
      </vt:variant>
      <vt:variant>
        <vt:i4>0</vt:i4>
      </vt:variant>
      <vt:variant>
        <vt:i4>5</vt:i4>
      </vt:variant>
      <vt:variant>
        <vt:lpwstr/>
      </vt:variant>
      <vt:variant>
        <vt:lpwstr>_Toc121924337</vt:lpwstr>
      </vt:variant>
      <vt:variant>
        <vt:i4>1769521</vt:i4>
      </vt:variant>
      <vt:variant>
        <vt:i4>68</vt:i4>
      </vt:variant>
      <vt:variant>
        <vt:i4>0</vt:i4>
      </vt:variant>
      <vt:variant>
        <vt:i4>5</vt:i4>
      </vt:variant>
      <vt:variant>
        <vt:lpwstr/>
      </vt:variant>
      <vt:variant>
        <vt:lpwstr>_Toc121924336</vt:lpwstr>
      </vt:variant>
      <vt:variant>
        <vt:i4>1769521</vt:i4>
      </vt:variant>
      <vt:variant>
        <vt:i4>65</vt:i4>
      </vt:variant>
      <vt:variant>
        <vt:i4>0</vt:i4>
      </vt:variant>
      <vt:variant>
        <vt:i4>5</vt:i4>
      </vt:variant>
      <vt:variant>
        <vt:lpwstr/>
      </vt:variant>
      <vt:variant>
        <vt:lpwstr>_Toc121924335</vt:lpwstr>
      </vt:variant>
      <vt:variant>
        <vt:i4>1769521</vt:i4>
      </vt:variant>
      <vt:variant>
        <vt:i4>62</vt:i4>
      </vt:variant>
      <vt:variant>
        <vt:i4>0</vt:i4>
      </vt:variant>
      <vt:variant>
        <vt:i4>5</vt:i4>
      </vt:variant>
      <vt:variant>
        <vt:lpwstr/>
      </vt:variant>
      <vt:variant>
        <vt:lpwstr>_Toc121924334</vt:lpwstr>
      </vt:variant>
      <vt:variant>
        <vt:i4>1769521</vt:i4>
      </vt:variant>
      <vt:variant>
        <vt:i4>59</vt:i4>
      </vt:variant>
      <vt:variant>
        <vt:i4>0</vt:i4>
      </vt:variant>
      <vt:variant>
        <vt:i4>5</vt:i4>
      </vt:variant>
      <vt:variant>
        <vt:lpwstr/>
      </vt:variant>
      <vt:variant>
        <vt:lpwstr>_Toc121924333</vt:lpwstr>
      </vt:variant>
      <vt:variant>
        <vt:i4>1769521</vt:i4>
      </vt:variant>
      <vt:variant>
        <vt:i4>56</vt:i4>
      </vt:variant>
      <vt:variant>
        <vt:i4>0</vt:i4>
      </vt:variant>
      <vt:variant>
        <vt:i4>5</vt:i4>
      </vt:variant>
      <vt:variant>
        <vt:lpwstr/>
      </vt:variant>
      <vt:variant>
        <vt:lpwstr>_Toc121924332</vt:lpwstr>
      </vt:variant>
      <vt:variant>
        <vt:i4>1769521</vt:i4>
      </vt:variant>
      <vt:variant>
        <vt:i4>53</vt:i4>
      </vt:variant>
      <vt:variant>
        <vt:i4>0</vt:i4>
      </vt:variant>
      <vt:variant>
        <vt:i4>5</vt:i4>
      </vt:variant>
      <vt:variant>
        <vt:lpwstr/>
      </vt:variant>
      <vt:variant>
        <vt:lpwstr>_Toc121924331</vt:lpwstr>
      </vt:variant>
      <vt:variant>
        <vt:i4>1769521</vt:i4>
      </vt:variant>
      <vt:variant>
        <vt:i4>50</vt:i4>
      </vt:variant>
      <vt:variant>
        <vt:i4>0</vt:i4>
      </vt:variant>
      <vt:variant>
        <vt:i4>5</vt:i4>
      </vt:variant>
      <vt:variant>
        <vt:lpwstr/>
      </vt:variant>
      <vt:variant>
        <vt:lpwstr>_Toc121924330</vt:lpwstr>
      </vt:variant>
      <vt:variant>
        <vt:i4>1703985</vt:i4>
      </vt:variant>
      <vt:variant>
        <vt:i4>47</vt:i4>
      </vt:variant>
      <vt:variant>
        <vt:i4>0</vt:i4>
      </vt:variant>
      <vt:variant>
        <vt:i4>5</vt:i4>
      </vt:variant>
      <vt:variant>
        <vt:lpwstr/>
      </vt:variant>
      <vt:variant>
        <vt:lpwstr>_Toc121924329</vt:lpwstr>
      </vt:variant>
      <vt:variant>
        <vt:i4>1703985</vt:i4>
      </vt:variant>
      <vt:variant>
        <vt:i4>44</vt:i4>
      </vt:variant>
      <vt:variant>
        <vt:i4>0</vt:i4>
      </vt:variant>
      <vt:variant>
        <vt:i4>5</vt:i4>
      </vt:variant>
      <vt:variant>
        <vt:lpwstr/>
      </vt:variant>
      <vt:variant>
        <vt:lpwstr>_Toc121924328</vt:lpwstr>
      </vt:variant>
      <vt:variant>
        <vt:i4>1703985</vt:i4>
      </vt:variant>
      <vt:variant>
        <vt:i4>41</vt:i4>
      </vt:variant>
      <vt:variant>
        <vt:i4>0</vt:i4>
      </vt:variant>
      <vt:variant>
        <vt:i4>5</vt:i4>
      </vt:variant>
      <vt:variant>
        <vt:lpwstr/>
      </vt:variant>
      <vt:variant>
        <vt:lpwstr>_Toc121924327</vt:lpwstr>
      </vt:variant>
      <vt:variant>
        <vt:i4>1703985</vt:i4>
      </vt:variant>
      <vt:variant>
        <vt:i4>38</vt:i4>
      </vt:variant>
      <vt:variant>
        <vt:i4>0</vt:i4>
      </vt:variant>
      <vt:variant>
        <vt:i4>5</vt:i4>
      </vt:variant>
      <vt:variant>
        <vt:lpwstr/>
      </vt:variant>
      <vt:variant>
        <vt:lpwstr>_Toc121924326</vt:lpwstr>
      </vt:variant>
      <vt:variant>
        <vt:i4>1703985</vt:i4>
      </vt:variant>
      <vt:variant>
        <vt:i4>35</vt:i4>
      </vt:variant>
      <vt:variant>
        <vt:i4>0</vt:i4>
      </vt:variant>
      <vt:variant>
        <vt:i4>5</vt:i4>
      </vt:variant>
      <vt:variant>
        <vt:lpwstr/>
      </vt:variant>
      <vt:variant>
        <vt:lpwstr>_Toc121924325</vt:lpwstr>
      </vt:variant>
      <vt:variant>
        <vt:i4>1703985</vt:i4>
      </vt:variant>
      <vt:variant>
        <vt:i4>32</vt:i4>
      </vt:variant>
      <vt:variant>
        <vt:i4>0</vt:i4>
      </vt:variant>
      <vt:variant>
        <vt:i4>5</vt:i4>
      </vt:variant>
      <vt:variant>
        <vt:lpwstr/>
      </vt:variant>
      <vt:variant>
        <vt:lpwstr>_Toc121924324</vt:lpwstr>
      </vt:variant>
      <vt:variant>
        <vt:i4>1703985</vt:i4>
      </vt:variant>
      <vt:variant>
        <vt:i4>29</vt:i4>
      </vt:variant>
      <vt:variant>
        <vt:i4>0</vt:i4>
      </vt:variant>
      <vt:variant>
        <vt:i4>5</vt:i4>
      </vt:variant>
      <vt:variant>
        <vt:lpwstr/>
      </vt:variant>
      <vt:variant>
        <vt:lpwstr>_Toc121924323</vt:lpwstr>
      </vt:variant>
      <vt:variant>
        <vt:i4>1703985</vt:i4>
      </vt:variant>
      <vt:variant>
        <vt:i4>26</vt:i4>
      </vt:variant>
      <vt:variant>
        <vt:i4>0</vt:i4>
      </vt:variant>
      <vt:variant>
        <vt:i4>5</vt:i4>
      </vt:variant>
      <vt:variant>
        <vt:lpwstr/>
      </vt:variant>
      <vt:variant>
        <vt:lpwstr>_Toc121924322</vt:lpwstr>
      </vt:variant>
      <vt:variant>
        <vt:i4>1703985</vt:i4>
      </vt:variant>
      <vt:variant>
        <vt:i4>23</vt:i4>
      </vt:variant>
      <vt:variant>
        <vt:i4>0</vt:i4>
      </vt:variant>
      <vt:variant>
        <vt:i4>5</vt:i4>
      </vt:variant>
      <vt:variant>
        <vt:lpwstr/>
      </vt:variant>
      <vt:variant>
        <vt:lpwstr>_Toc121924321</vt:lpwstr>
      </vt:variant>
      <vt:variant>
        <vt:i4>1703985</vt:i4>
      </vt:variant>
      <vt:variant>
        <vt:i4>20</vt:i4>
      </vt:variant>
      <vt:variant>
        <vt:i4>0</vt:i4>
      </vt:variant>
      <vt:variant>
        <vt:i4>5</vt:i4>
      </vt:variant>
      <vt:variant>
        <vt:lpwstr/>
      </vt:variant>
      <vt:variant>
        <vt:lpwstr>_Toc121924320</vt:lpwstr>
      </vt:variant>
      <vt:variant>
        <vt:i4>1638449</vt:i4>
      </vt:variant>
      <vt:variant>
        <vt:i4>17</vt:i4>
      </vt:variant>
      <vt:variant>
        <vt:i4>0</vt:i4>
      </vt:variant>
      <vt:variant>
        <vt:i4>5</vt:i4>
      </vt:variant>
      <vt:variant>
        <vt:lpwstr/>
      </vt:variant>
      <vt:variant>
        <vt:lpwstr>_Toc121924319</vt:lpwstr>
      </vt:variant>
      <vt:variant>
        <vt:i4>1638449</vt:i4>
      </vt:variant>
      <vt:variant>
        <vt:i4>14</vt:i4>
      </vt:variant>
      <vt:variant>
        <vt:i4>0</vt:i4>
      </vt:variant>
      <vt:variant>
        <vt:i4>5</vt:i4>
      </vt:variant>
      <vt:variant>
        <vt:lpwstr/>
      </vt:variant>
      <vt:variant>
        <vt:lpwstr>_Toc121924318</vt:lpwstr>
      </vt:variant>
      <vt:variant>
        <vt:i4>1638449</vt:i4>
      </vt:variant>
      <vt:variant>
        <vt:i4>11</vt:i4>
      </vt:variant>
      <vt:variant>
        <vt:i4>0</vt:i4>
      </vt:variant>
      <vt:variant>
        <vt:i4>5</vt:i4>
      </vt:variant>
      <vt:variant>
        <vt:lpwstr/>
      </vt:variant>
      <vt:variant>
        <vt:lpwstr>_Toc121924317</vt:lpwstr>
      </vt:variant>
      <vt:variant>
        <vt:i4>1638449</vt:i4>
      </vt:variant>
      <vt:variant>
        <vt:i4>8</vt:i4>
      </vt:variant>
      <vt:variant>
        <vt:i4>0</vt:i4>
      </vt:variant>
      <vt:variant>
        <vt:i4>5</vt:i4>
      </vt:variant>
      <vt:variant>
        <vt:lpwstr/>
      </vt:variant>
      <vt:variant>
        <vt:lpwstr>_Toc121924316</vt:lpwstr>
      </vt:variant>
      <vt:variant>
        <vt:i4>1638449</vt:i4>
      </vt:variant>
      <vt:variant>
        <vt:i4>5</vt:i4>
      </vt:variant>
      <vt:variant>
        <vt:i4>0</vt:i4>
      </vt:variant>
      <vt:variant>
        <vt:i4>5</vt:i4>
      </vt:variant>
      <vt:variant>
        <vt:lpwstr/>
      </vt:variant>
      <vt:variant>
        <vt:lpwstr>_Toc121924315</vt:lpwstr>
      </vt:variant>
      <vt:variant>
        <vt:i4>1572961</vt:i4>
      </vt:variant>
      <vt:variant>
        <vt:i4>0</vt:i4>
      </vt:variant>
      <vt:variant>
        <vt:i4>0</vt:i4>
      </vt:variant>
      <vt:variant>
        <vt:i4>5</vt:i4>
      </vt:variant>
      <vt:variant>
        <vt:lpwstr>mailto:england.contractshelp@nhs.net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2023-12-15T09:44:00Z</dcterms:created>
  <dcterms:modified xsi:type="dcterms:W3CDTF">2023-12-15T09:44:00Z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