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510F" w14:textId="7FC0CACE" w:rsidR="009B6427" w:rsidRDefault="00AC0ADB" w:rsidP="00AC0ADB">
      <w:pPr>
        <w:spacing w:after="120"/>
        <w:jc w:val="right"/>
        <w:rPr>
          <w:rFonts w:ascii="Arial" w:hAnsi="Arial" w:cs="Arial"/>
          <w:color w:val="000000"/>
        </w:rPr>
      </w:pPr>
      <w:r>
        <w:rPr>
          <w:noProof/>
        </w:rPr>
        <w:drawing>
          <wp:inline distT="0" distB="0" distL="0" distR="0" wp14:anchorId="22314E9A" wp14:editId="58A136E5">
            <wp:extent cx="1442323" cy="866775"/>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80" cy="922759"/>
                    </a:xfrm>
                    <a:prstGeom prst="rect">
                      <a:avLst/>
                    </a:prstGeom>
                  </pic:spPr>
                </pic:pic>
              </a:graphicData>
            </a:graphic>
          </wp:inline>
        </w:drawing>
      </w:r>
    </w:p>
    <w:sdt>
      <w:sdtPr>
        <w:rPr>
          <w:rFonts w:ascii="Arial" w:hAnsi="Arial" w:cs="Arial"/>
          <w:color w:val="000000"/>
        </w:rPr>
        <w:id w:val="360258542"/>
        <w:placeholder>
          <w:docPart w:val="DefaultPlaceholder_-1854013437"/>
        </w:placeholder>
        <w:date w:fullDate="2023-02-01T00:00:00Z">
          <w:dateFormat w:val="dd/MM/yyyy"/>
          <w:lid w:val="en-GB"/>
          <w:storeMappedDataAs w:val="dateTime"/>
          <w:calendar w:val="gregorian"/>
        </w:date>
      </w:sdtPr>
      <w:sdtEndPr/>
      <w:sdtContent>
        <w:p w14:paraId="66AF7E6C" w14:textId="037F4532" w:rsidR="00AC0ADB" w:rsidRDefault="00D83213" w:rsidP="00AC0ADB">
          <w:pPr>
            <w:spacing w:after="120"/>
            <w:jc w:val="right"/>
            <w:rPr>
              <w:rFonts w:ascii="Arial" w:hAnsi="Arial" w:cs="Arial"/>
              <w:color w:val="000000"/>
            </w:rPr>
          </w:pPr>
          <w:r>
            <w:rPr>
              <w:rFonts w:ascii="Arial" w:hAnsi="Arial" w:cs="Arial"/>
              <w:color w:val="000000"/>
              <w:lang w:val="en-GB"/>
            </w:rPr>
            <w:t>01/02/2023</w:t>
          </w:r>
        </w:p>
      </w:sdtContent>
    </w:sdt>
    <w:p w14:paraId="792316A5" w14:textId="2A862FD8" w:rsidR="00AC0ADB" w:rsidRDefault="00AC0ADB" w:rsidP="00F9495C">
      <w:pPr>
        <w:spacing w:after="12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855FB">
        <w:rPr>
          <w:rFonts w:ascii="Arial" w:hAnsi="Arial" w:cs="Arial"/>
          <w:color w:val="000000"/>
        </w:rPr>
        <w:t xml:space="preserve">          NN-</w:t>
      </w:r>
      <w:r>
        <w:rPr>
          <w:rFonts w:ascii="Arial" w:hAnsi="Arial" w:cs="Arial"/>
          <w:color w:val="000000"/>
        </w:rPr>
        <w:t>ICB/22/</w:t>
      </w:r>
      <w:r w:rsidR="009B01BA">
        <w:rPr>
          <w:rFonts w:ascii="Arial" w:hAnsi="Arial" w:cs="Arial"/>
          <w:color w:val="000000"/>
        </w:rPr>
        <w:t>159</w:t>
      </w:r>
    </w:p>
    <w:p w14:paraId="7D334BF2" w14:textId="4715FC66" w:rsidR="00AC0ADB" w:rsidRDefault="00AC0ADB" w:rsidP="00E93878">
      <w:pPr>
        <w:spacing w:after="120"/>
        <w:rPr>
          <w:rFonts w:ascii="Arial" w:hAnsi="Arial" w:cs="Arial"/>
          <w:color w:val="000000"/>
        </w:rPr>
      </w:pPr>
    </w:p>
    <w:p w14:paraId="75DD4450" w14:textId="75E99FE0" w:rsidR="00AE0D90" w:rsidRPr="00502130" w:rsidRDefault="00AE0D90" w:rsidP="009B6427">
      <w:pPr>
        <w:spacing w:after="120"/>
        <w:rPr>
          <w:rFonts w:ascii="Arial" w:hAnsi="Arial" w:cs="Arial"/>
          <w:color w:val="000000"/>
        </w:rPr>
      </w:pPr>
      <w:r w:rsidRPr="00502130">
        <w:rPr>
          <w:rFonts w:ascii="Arial" w:hAnsi="Arial" w:cs="Arial"/>
          <w:color w:val="000000"/>
        </w:rPr>
        <w:t xml:space="preserve">Dear </w:t>
      </w:r>
      <w:r w:rsidR="009947C4" w:rsidRPr="00502130">
        <w:rPr>
          <w:rFonts w:ascii="Arial" w:hAnsi="Arial" w:cs="Arial"/>
          <w:color w:val="000000"/>
        </w:rPr>
        <w:t xml:space="preserve">Requestor </w:t>
      </w:r>
    </w:p>
    <w:p w14:paraId="4492B875" w14:textId="77777777" w:rsidR="006A4B49" w:rsidRPr="009B6427" w:rsidRDefault="00AE0D90" w:rsidP="009B6427">
      <w:pPr>
        <w:pStyle w:val="Heading3"/>
        <w:spacing w:before="0" w:after="120" w:line="276" w:lineRule="auto"/>
        <w:ind w:left="0"/>
        <w:rPr>
          <w:rFonts w:cs="Arial"/>
          <w:bCs w:val="0"/>
          <w:sz w:val="22"/>
          <w:szCs w:val="22"/>
        </w:rPr>
      </w:pPr>
      <w:r w:rsidRPr="009B6427">
        <w:rPr>
          <w:rFonts w:cs="Arial"/>
          <w:bCs w:val="0"/>
          <w:sz w:val="22"/>
          <w:szCs w:val="22"/>
        </w:rPr>
        <w:t>RE: Freedom of Information Request</w:t>
      </w:r>
    </w:p>
    <w:p w14:paraId="4BBB4309" w14:textId="77777777" w:rsidR="006A4B49" w:rsidRPr="00502130" w:rsidRDefault="006A4B49" w:rsidP="009B6427">
      <w:pPr>
        <w:pStyle w:val="Heading3"/>
        <w:spacing w:before="0" w:after="120" w:line="276" w:lineRule="auto"/>
        <w:ind w:left="0"/>
        <w:rPr>
          <w:rFonts w:cs="Arial"/>
          <w:b w:val="0"/>
          <w:sz w:val="22"/>
          <w:szCs w:val="22"/>
        </w:rPr>
      </w:pPr>
    </w:p>
    <w:p w14:paraId="6A0784A3" w14:textId="35992ABC" w:rsidR="00E93878" w:rsidRDefault="006A4B49" w:rsidP="009B6427">
      <w:pPr>
        <w:pStyle w:val="Heading3"/>
        <w:spacing w:before="0" w:after="120" w:line="276" w:lineRule="auto"/>
        <w:ind w:left="0"/>
        <w:rPr>
          <w:rFonts w:cs="Arial"/>
          <w:b w:val="0"/>
          <w:sz w:val="22"/>
          <w:szCs w:val="22"/>
        </w:rPr>
      </w:pPr>
      <w:r w:rsidRPr="00502130">
        <w:rPr>
          <w:rFonts w:cs="Arial"/>
          <w:b w:val="0"/>
          <w:sz w:val="22"/>
          <w:szCs w:val="22"/>
        </w:rPr>
        <w:t>W</w:t>
      </w:r>
      <w:r w:rsidR="00F82A7D" w:rsidRPr="00502130">
        <w:rPr>
          <w:rFonts w:cs="Arial"/>
          <w:b w:val="0"/>
          <w:sz w:val="22"/>
          <w:szCs w:val="22"/>
        </w:rPr>
        <w:t>ith reference to your request for information I can confirm in accordance with Section 1 (1) of the Freedom of Information Act 2000 that w</w:t>
      </w:r>
      <w:r w:rsidR="00F82A7D" w:rsidRPr="009B01BA">
        <w:rPr>
          <w:rFonts w:cs="Arial"/>
          <w:b w:val="0"/>
          <w:color w:val="auto"/>
          <w:sz w:val="22"/>
          <w:szCs w:val="22"/>
        </w:rPr>
        <w:t xml:space="preserve">e </w:t>
      </w:r>
      <w:r w:rsidR="009B6427" w:rsidRPr="009B01BA">
        <w:rPr>
          <w:rFonts w:cs="Arial"/>
          <w:b w:val="0"/>
          <w:color w:val="auto"/>
          <w:sz w:val="22"/>
          <w:szCs w:val="22"/>
        </w:rPr>
        <w:t xml:space="preserve">partially </w:t>
      </w:r>
      <w:r w:rsidR="00F82A7D" w:rsidRPr="009B01BA">
        <w:rPr>
          <w:rFonts w:cs="Arial"/>
          <w:b w:val="0"/>
          <w:color w:val="auto"/>
          <w:sz w:val="22"/>
          <w:szCs w:val="22"/>
        </w:rPr>
        <w:t>hold the information that you have requested.  A response to each part o</w:t>
      </w:r>
      <w:r w:rsidR="00897C8A" w:rsidRPr="009B01BA">
        <w:rPr>
          <w:rFonts w:cs="Arial"/>
          <w:b w:val="0"/>
          <w:color w:val="auto"/>
          <w:sz w:val="22"/>
          <w:szCs w:val="22"/>
        </w:rPr>
        <w:t xml:space="preserve">f your request </w:t>
      </w:r>
      <w:r w:rsidR="00897C8A" w:rsidRPr="00502130">
        <w:rPr>
          <w:rFonts w:cs="Arial"/>
          <w:b w:val="0"/>
          <w:sz w:val="22"/>
          <w:szCs w:val="22"/>
        </w:rPr>
        <w:t>is below</w:t>
      </w:r>
      <w:r w:rsidR="00F82A7D" w:rsidRPr="00502130">
        <w:rPr>
          <w:rFonts w:cs="Arial"/>
          <w:b w:val="0"/>
          <w:sz w:val="22"/>
          <w:szCs w:val="22"/>
        </w:rPr>
        <w:t>.</w:t>
      </w:r>
    </w:p>
    <w:p w14:paraId="4B8676D7" w14:textId="77777777" w:rsidR="006A4B49" w:rsidRPr="00502130" w:rsidRDefault="00897C8A" w:rsidP="009B6427">
      <w:pPr>
        <w:pStyle w:val="Heading3"/>
        <w:spacing w:before="0" w:after="120" w:line="276" w:lineRule="auto"/>
        <w:ind w:left="0"/>
        <w:rPr>
          <w:rFonts w:cs="Arial"/>
          <w:b w:val="0"/>
          <w:sz w:val="22"/>
          <w:szCs w:val="22"/>
        </w:rPr>
      </w:pPr>
      <w:r w:rsidRPr="00502130">
        <w:rPr>
          <w:rFonts w:cs="Arial"/>
          <w:b w:val="0"/>
          <w:sz w:val="22"/>
          <w:szCs w:val="22"/>
        </w:rPr>
        <w:t>In the request you asked:</w:t>
      </w:r>
      <w:r w:rsidR="00785586" w:rsidRPr="00502130">
        <w:rPr>
          <w:rFonts w:cs="Arial"/>
          <w:b w:val="0"/>
          <w:sz w:val="22"/>
          <w:szCs w:val="22"/>
        </w:rPr>
        <w:t xml:space="preserve"> </w:t>
      </w:r>
    </w:p>
    <w:p w14:paraId="147CADDF" w14:textId="77777777" w:rsidR="00C72740" w:rsidRDefault="00C72740" w:rsidP="00C72740">
      <w:pPr>
        <w:pStyle w:val="NormalWeb"/>
        <w:shd w:val="clear" w:color="auto" w:fill="FFFFFF"/>
        <w:spacing w:before="240" w:beforeAutospacing="0"/>
        <w:jc w:val="both"/>
        <w:rPr>
          <w:rFonts w:ascii="Arial" w:hAnsi="Arial" w:cs="Arial"/>
          <w:i/>
          <w:iCs/>
          <w:sz w:val="22"/>
          <w:szCs w:val="22"/>
        </w:rPr>
      </w:pPr>
      <w:r>
        <w:rPr>
          <w:rFonts w:ascii="Arial" w:hAnsi="Arial" w:cs="Arial"/>
          <w:b/>
          <w:bCs/>
          <w:i/>
          <w:iCs/>
          <w:color w:val="000000"/>
        </w:rPr>
        <w:t>CHC Funded Care and Support Packages Statistics</w:t>
      </w:r>
    </w:p>
    <w:p w14:paraId="0E26FA57" w14:textId="77777777" w:rsidR="00C72740" w:rsidRDefault="00C72740" w:rsidP="00C72740">
      <w:pPr>
        <w:pStyle w:val="NormalWeb"/>
        <w:shd w:val="clear" w:color="auto" w:fill="FFFFFF"/>
        <w:spacing w:before="240" w:beforeAutospacing="0"/>
        <w:jc w:val="both"/>
        <w:rPr>
          <w:rFonts w:ascii="Arial" w:hAnsi="Arial" w:cs="Arial"/>
          <w:i/>
          <w:iCs/>
        </w:rPr>
      </w:pPr>
      <w:r>
        <w:rPr>
          <w:rFonts w:ascii="Arial" w:hAnsi="Arial" w:cs="Arial"/>
          <w:i/>
          <w:iCs/>
          <w:color w:val="000000"/>
        </w:rPr>
        <w:t>Please advise;</w:t>
      </w:r>
    </w:p>
    <w:p w14:paraId="49166DE6" w14:textId="77777777" w:rsidR="00C72740" w:rsidRDefault="00C72740" w:rsidP="00C72740">
      <w:pPr>
        <w:numPr>
          <w:ilvl w:val="0"/>
          <w:numId w:val="6"/>
        </w:numPr>
        <w:shd w:val="clear" w:color="auto" w:fill="FFFFFF"/>
        <w:spacing w:before="100" w:beforeAutospacing="1" w:after="0" w:line="240" w:lineRule="auto"/>
        <w:jc w:val="both"/>
        <w:rPr>
          <w:rFonts w:ascii="Arial" w:eastAsia="Times New Roman" w:hAnsi="Arial" w:cs="Arial"/>
          <w:i/>
          <w:iCs/>
        </w:rPr>
      </w:pPr>
      <w:r>
        <w:rPr>
          <w:rFonts w:ascii="Arial" w:eastAsia="Times New Roman" w:hAnsi="Arial" w:cs="Arial"/>
          <w:i/>
          <w:iCs/>
          <w:color w:val="000000"/>
        </w:rPr>
        <w:t xml:space="preserve">Who is responsible for sourcing and commissioning CHC funded packages of Care for individuals with Complex Care and Support Needs, please detail the team that sources packages of support and which department they for i.e., NHS or Local Authority (LA). </w:t>
      </w:r>
    </w:p>
    <w:p w14:paraId="59BC77B7" w14:textId="387B614C" w:rsidR="00C72740" w:rsidRPr="00C72740" w:rsidRDefault="00C72740" w:rsidP="00C72740">
      <w:pPr>
        <w:shd w:val="clear" w:color="auto" w:fill="FFFFFF"/>
        <w:spacing w:before="100" w:beforeAutospacing="1" w:after="0" w:line="240" w:lineRule="auto"/>
        <w:ind w:left="720"/>
        <w:jc w:val="both"/>
        <w:rPr>
          <w:rFonts w:ascii="Arial" w:eastAsia="Times New Roman" w:hAnsi="Arial" w:cs="Arial"/>
          <w:i/>
          <w:iCs/>
          <w:color w:val="365F91" w:themeColor="accent1" w:themeShade="BF"/>
        </w:rPr>
      </w:pPr>
      <w:r w:rsidRPr="00C72740">
        <w:rPr>
          <w:rFonts w:ascii="Arial" w:hAnsi="Arial" w:cs="Arial"/>
          <w:color w:val="365F91" w:themeColor="accent1" w:themeShade="BF"/>
        </w:rPr>
        <w:t>In Nottingham and Nottinghamshire, the sourcing and commissioning of Continuing Health Care (CHC) funded packages of care are led by t</w:t>
      </w:r>
      <w:r w:rsidR="00494C39">
        <w:rPr>
          <w:rFonts w:ascii="Arial" w:hAnsi="Arial" w:cs="Arial"/>
          <w:color w:val="365F91" w:themeColor="accent1" w:themeShade="BF"/>
        </w:rPr>
        <w:t>hree</w:t>
      </w:r>
      <w:r w:rsidRPr="00C72740">
        <w:rPr>
          <w:rFonts w:ascii="Arial" w:hAnsi="Arial" w:cs="Arial"/>
          <w:color w:val="365F91" w:themeColor="accent1" w:themeShade="BF"/>
        </w:rPr>
        <w:t xml:space="preserve"> delivery units. They are:</w:t>
      </w:r>
    </w:p>
    <w:p w14:paraId="556E92E6" w14:textId="0851B442" w:rsidR="00C72740" w:rsidRPr="00C72740" w:rsidRDefault="00C72740" w:rsidP="00C72740">
      <w:pPr>
        <w:pStyle w:val="ListParagraph"/>
        <w:numPr>
          <w:ilvl w:val="0"/>
          <w:numId w:val="11"/>
        </w:numPr>
        <w:shd w:val="clear" w:color="auto" w:fill="FFFFFF"/>
        <w:spacing w:before="100" w:beforeAutospacing="1"/>
        <w:jc w:val="both"/>
        <w:rPr>
          <w:rFonts w:ascii="Arial" w:hAnsi="Arial" w:cs="Arial"/>
          <w:color w:val="365F91" w:themeColor="accent1" w:themeShade="BF"/>
        </w:rPr>
      </w:pPr>
      <w:r w:rsidRPr="00C72740">
        <w:rPr>
          <w:rFonts w:ascii="Arial" w:hAnsi="Arial" w:cs="Arial"/>
          <w:color w:val="365F91" w:themeColor="accent1" w:themeShade="BF"/>
        </w:rPr>
        <w:t xml:space="preserve">Nottingham CityCare Partnership CIC – A social enterprise and the Mid Nottinghamshire Delivery Team – NHS, part of </w:t>
      </w:r>
      <w:r w:rsidR="00B84AB2">
        <w:rPr>
          <w:rFonts w:ascii="Arial" w:hAnsi="Arial" w:cs="Arial"/>
          <w:color w:val="365F91" w:themeColor="accent1" w:themeShade="BF"/>
        </w:rPr>
        <w:t>Nottingham and Nottingha</w:t>
      </w:r>
      <w:r w:rsidR="00494C39">
        <w:rPr>
          <w:rFonts w:ascii="Arial" w:hAnsi="Arial" w:cs="Arial"/>
          <w:color w:val="365F91" w:themeColor="accent1" w:themeShade="BF"/>
        </w:rPr>
        <w:t>m</w:t>
      </w:r>
      <w:r w:rsidR="00B84AB2">
        <w:rPr>
          <w:rFonts w:ascii="Arial" w:hAnsi="Arial" w:cs="Arial"/>
          <w:color w:val="365F91" w:themeColor="accent1" w:themeShade="BF"/>
        </w:rPr>
        <w:t>shire</w:t>
      </w:r>
      <w:r w:rsidRPr="00C72740">
        <w:rPr>
          <w:rFonts w:ascii="Arial" w:hAnsi="Arial" w:cs="Arial"/>
          <w:color w:val="365F91" w:themeColor="accent1" w:themeShade="BF"/>
        </w:rPr>
        <w:t xml:space="preserve"> ICB.</w:t>
      </w:r>
    </w:p>
    <w:p w14:paraId="4A7FA928" w14:textId="56329861" w:rsidR="00C72740" w:rsidRDefault="00494C39" w:rsidP="00C72740">
      <w:pPr>
        <w:pStyle w:val="ListParagraph"/>
        <w:numPr>
          <w:ilvl w:val="0"/>
          <w:numId w:val="11"/>
        </w:numPr>
        <w:shd w:val="clear" w:color="auto" w:fill="FFFFFF"/>
        <w:spacing w:before="100" w:beforeAutospacing="1"/>
        <w:jc w:val="both"/>
        <w:rPr>
          <w:rFonts w:ascii="Arial" w:hAnsi="Arial" w:cs="Arial"/>
          <w:color w:val="365F91" w:themeColor="accent1" w:themeShade="BF"/>
        </w:rPr>
      </w:pPr>
      <w:r>
        <w:rPr>
          <w:rFonts w:ascii="Arial" w:hAnsi="Arial" w:cs="Arial"/>
          <w:color w:val="365F91" w:themeColor="accent1" w:themeShade="BF"/>
        </w:rPr>
        <w:t>The Mid Nottinghamshire Delivery Team – NHS, part of Nottingham and Nottinghamshire ICB.</w:t>
      </w:r>
    </w:p>
    <w:p w14:paraId="6E0C9754" w14:textId="68A0C1BD" w:rsidR="00494C39" w:rsidRPr="00C72740" w:rsidRDefault="00494C39" w:rsidP="00C72740">
      <w:pPr>
        <w:pStyle w:val="ListParagraph"/>
        <w:numPr>
          <w:ilvl w:val="0"/>
          <w:numId w:val="11"/>
        </w:numPr>
        <w:shd w:val="clear" w:color="auto" w:fill="FFFFFF"/>
        <w:spacing w:before="100" w:beforeAutospacing="1"/>
        <w:jc w:val="both"/>
        <w:rPr>
          <w:rFonts w:ascii="Arial" w:hAnsi="Arial" w:cs="Arial"/>
          <w:color w:val="365F91" w:themeColor="accent1" w:themeShade="BF"/>
        </w:rPr>
      </w:pPr>
      <w:r>
        <w:rPr>
          <w:rFonts w:ascii="Arial" w:hAnsi="Arial" w:cs="Arial"/>
          <w:color w:val="365F91" w:themeColor="accent1" w:themeShade="BF"/>
        </w:rPr>
        <w:t xml:space="preserve">The Bassetlaw Case Management Team – NHS, part of Nottingham and Nottinghamshire ICB. </w:t>
      </w:r>
    </w:p>
    <w:p w14:paraId="192B4576" w14:textId="77777777" w:rsidR="00C72740" w:rsidRPr="00C72740" w:rsidRDefault="00C72740" w:rsidP="00C72740">
      <w:pPr>
        <w:pStyle w:val="ListParagraph"/>
        <w:shd w:val="clear" w:color="auto" w:fill="FFFFFF"/>
        <w:spacing w:before="100" w:beforeAutospacing="1"/>
        <w:ind w:left="1080"/>
        <w:jc w:val="both"/>
        <w:rPr>
          <w:rFonts w:ascii="Arial" w:hAnsi="Arial" w:cs="Arial"/>
          <w:color w:val="00B050"/>
        </w:rPr>
      </w:pPr>
    </w:p>
    <w:p w14:paraId="5D936E78" w14:textId="117C1C3A" w:rsidR="00C72740" w:rsidRPr="00C72740" w:rsidRDefault="00C72740" w:rsidP="00C72740">
      <w:pPr>
        <w:pStyle w:val="ListParagraph"/>
        <w:numPr>
          <w:ilvl w:val="0"/>
          <w:numId w:val="6"/>
        </w:numPr>
        <w:shd w:val="clear" w:color="auto" w:fill="FFFFFF"/>
        <w:spacing w:before="100" w:beforeAutospacing="1" w:after="0" w:line="240" w:lineRule="auto"/>
        <w:jc w:val="both"/>
        <w:rPr>
          <w:rFonts w:ascii="Arial" w:eastAsia="Times New Roman" w:hAnsi="Arial" w:cs="Arial"/>
          <w:i/>
          <w:iCs/>
        </w:rPr>
      </w:pPr>
      <w:r w:rsidRPr="00C72740">
        <w:rPr>
          <w:rFonts w:ascii="Arial" w:eastAsia="Times New Roman" w:hAnsi="Arial" w:cs="Arial"/>
          <w:i/>
          <w:iCs/>
          <w:color w:val="000000"/>
        </w:rPr>
        <w:t>The number of CHC Funded Care and Support Packages commissioned by your ICB/LA and facilitated by an Independent (private or voluntary) provider within your ICB/LA boundary as of 2</w:t>
      </w:r>
      <w:r w:rsidRPr="00C72740">
        <w:rPr>
          <w:rFonts w:ascii="Arial" w:eastAsia="Times New Roman" w:hAnsi="Arial" w:cs="Arial"/>
          <w:i/>
          <w:iCs/>
          <w:color w:val="000000"/>
          <w:vertAlign w:val="superscript"/>
        </w:rPr>
        <w:t>nd</w:t>
      </w:r>
      <w:r w:rsidRPr="00C72740">
        <w:rPr>
          <w:rFonts w:ascii="Arial" w:eastAsia="Times New Roman" w:hAnsi="Arial" w:cs="Arial"/>
          <w:i/>
          <w:iCs/>
          <w:color w:val="000000"/>
        </w:rPr>
        <w:t xml:space="preserve"> January 2023,</w:t>
      </w:r>
    </w:p>
    <w:p w14:paraId="7D390311" w14:textId="77777777" w:rsidR="00C72740" w:rsidRPr="00C72740" w:rsidRDefault="00C72740" w:rsidP="00C72740">
      <w:pPr>
        <w:shd w:val="clear" w:color="auto" w:fill="FFFFFF"/>
        <w:spacing w:before="100" w:beforeAutospacing="1"/>
        <w:ind w:left="720"/>
        <w:jc w:val="both"/>
        <w:rPr>
          <w:rFonts w:ascii="Arial" w:hAnsi="Arial" w:cs="Arial"/>
          <w:color w:val="365F91" w:themeColor="accent1" w:themeShade="BF"/>
          <w:lang w:val="en-GB" w:eastAsia="en-GB"/>
        </w:rPr>
      </w:pPr>
      <w:r w:rsidRPr="00C72740">
        <w:rPr>
          <w:rFonts w:ascii="Arial" w:hAnsi="Arial" w:cs="Arial"/>
          <w:color w:val="365F91" w:themeColor="accent1" w:themeShade="BF"/>
        </w:rPr>
        <w:t>The number of CHC Funded Care and Support Packages as of 2</w:t>
      </w:r>
      <w:r w:rsidRPr="00C72740">
        <w:rPr>
          <w:rFonts w:ascii="Arial" w:hAnsi="Arial" w:cs="Arial"/>
          <w:color w:val="365F91" w:themeColor="accent1" w:themeShade="BF"/>
          <w:vertAlign w:val="superscript"/>
        </w:rPr>
        <w:t>nd</w:t>
      </w:r>
      <w:r w:rsidRPr="00C72740">
        <w:rPr>
          <w:rFonts w:ascii="Arial" w:hAnsi="Arial" w:cs="Arial"/>
          <w:color w:val="365F91" w:themeColor="accent1" w:themeShade="BF"/>
        </w:rPr>
        <w:t xml:space="preserve"> January 2023 commissioned by Nottingham and Nottinghamshire with a Nottinghamshire postcode is 881.  This includes patients in receipt of home care packages and care home placements.</w:t>
      </w:r>
    </w:p>
    <w:p w14:paraId="7FA87138" w14:textId="580BE0D8" w:rsidR="00DF1384" w:rsidRPr="001E0D14" w:rsidRDefault="00DF1384" w:rsidP="001E0D14">
      <w:pPr>
        <w:shd w:val="clear" w:color="auto" w:fill="FFFFFF"/>
        <w:spacing w:before="100" w:beforeAutospacing="1"/>
        <w:ind w:left="720"/>
        <w:jc w:val="both"/>
        <w:rPr>
          <w:rFonts w:ascii="Arial" w:hAnsi="Arial" w:cs="Arial"/>
          <w:color w:val="365F91" w:themeColor="accent1" w:themeShade="BF"/>
        </w:rPr>
      </w:pPr>
      <w:r w:rsidRPr="001E0D14">
        <w:rPr>
          <w:rFonts w:ascii="Arial" w:hAnsi="Arial" w:cs="Arial"/>
          <w:color w:val="365F91" w:themeColor="accent1" w:themeShade="BF"/>
        </w:rPr>
        <w:t xml:space="preserve">In relation to the number of CHC funded care and support packages </w:t>
      </w:r>
      <w:r w:rsidR="00CC3B07" w:rsidRPr="001E0D14">
        <w:rPr>
          <w:rFonts w:ascii="Arial" w:hAnsi="Arial" w:cs="Arial"/>
          <w:color w:val="365F91" w:themeColor="accent1" w:themeShade="BF"/>
        </w:rPr>
        <w:t>commissioned with a Bassetlaw postcode</w:t>
      </w:r>
      <w:r w:rsidRPr="001E0D14">
        <w:rPr>
          <w:rFonts w:ascii="Arial" w:hAnsi="Arial" w:cs="Arial"/>
          <w:color w:val="365F91" w:themeColor="accent1" w:themeShade="BF"/>
        </w:rPr>
        <w:t xml:space="preserve">, the system in place would require an extensive exercise to go into each individual record to extract the information and the ICB have applied the exemption below. </w:t>
      </w:r>
    </w:p>
    <w:p w14:paraId="7C0C5DD6" w14:textId="77777777" w:rsidR="00DF1384" w:rsidRPr="001E0D14" w:rsidRDefault="00DF1384" w:rsidP="001E0D14">
      <w:pPr>
        <w:shd w:val="clear" w:color="auto" w:fill="FFFFFF"/>
        <w:spacing w:before="100" w:beforeAutospacing="1"/>
        <w:ind w:left="720"/>
        <w:jc w:val="both"/>
        <w:rPr>
          <w:rFonts w:ascii="Arial" w:hAnsi="Arial" w:cs="Arial"/>
          <w:color w:val="365F91" w:themeColor="accent1" w:themeShade="BF"/>
        </w:rPr>
      </w:pPr>
      <w:r w:rsidRPr="001E0D14">
        <w:rPr>
          <w:rFonts w:ascii="Arial" w:hAnsi="Arial" w:cs="Arial"/>
          <w:color w:val="365F91" w:themeColor="accent1" w:themeShade="BF"/>
        </w:rPr>
        <w:t xml:space="preserve">Section 12 (Cost Limit Exemption) </w:t>
      </w:r>
    </w:p>
    <w:p w14:paraId="0178DB8C" w14:textId="6E523183" w:rsidR="00DF1384" w:rsidRPr="001E0D14" w:rsidRDefault="00DF1384" w:rsidP="001E0D14">
      <w:pPr>
        <w:shd w:val="clear" w:color="auto" w:fill="FFFFFF"/>
        <w:spacing w:before="100" w:beforeAutospacing="1"/>
        <w:ind w:left="720"/>
        <w:jc w:val="both"/>
        <w:rPr>
          <w:rFonts w:ascii="Arial" w:hAnsi="Arial" w:cs="Arial"/>
          <w:color w:val="365F91" w:themeColor="accent1" w:themeShade="BF"/>
        </w:rPr>
      </w:pPr>
      <w:r w:rsidRPr="001E0D14">
        <w:rPr>
          <w:rFonts w:ascii="Arial" w:hAnsi="Arial" w:cs="Arial"/>
          <w:color w:val="365F91" w:themeColor="accent1" w:themeShade="BF"/>
        </w:rPr>
        <w:lastRenderedPageBreak/>
        <w:t xml:space="preserve">The ICB does hold the information in relation to your request, however, it is not possible to provide the information without undertaking an exercise to locate, retrieve and extract records for each of the individual </w:t>
      </w:r>
      <w:r w:rsidR="00CC3B07" w:rsidRPr="001E0D14">
        <w:rPr>
          <w:rFonts w:ascii="Arial" w:hAnsi="Arial" w:cs="Arial"/>
          <w:color w:val="365F91" w:themeColor="accent1" w:themeShade="BF"/>
        </w:rPr>
        <w:t>records and t</w:t>
      </w:r>
      <w:r w:rsidRPr="001E0D14">
        <w:rPr>
          <w:rFonts w:ascii="Arial" w:hAnsi="Arial" w:cs="Arial"/>
          <w:color w:val="365F91" w:themeColor="accent1" w:themeShade="BF"/>
        </w:rPr>
        <w:t xml:space="preserve">his would equate to a significant amount of time to ensure the accurate extraction of information and exceed the appropriate cost limit of £450. </w:t>
      </w:r>
    </w:p>
    <w:p w14:paraId="148B46A1" w14:textId="77777777" w:rsidR="00DF1384" w:rsidRPr="001E0D14" w:rsidRDefault="00DF1384" w:rsidP="001E0D14">
      <w:pPr>
        <w:shd w:val="clear" w:color="auto" w:fill="FFFFFF"/>
        <w:spacing w:before="100" w:beforeAutospacing="1"/>
        <w:ind w:left="720"/>
        <w:jc w:val="both"/>
        <w:rPr>
          <w:rFonts w:ascii="Arial" w:hAnsi="Arial" w:cs="Arial"/>
          <w:color w:val="365F91" w:themeColor="accent1" w:themeShade="BF"/>
        </w:rPr>
      </w:pPr>
      <w:r w:rsidRPr="001E0D14">
        <w:rPr>
          <w:rFonts w:ascii="Arial" w:hAnsi="Arial" w:cs="Arial"/>
          <w:color w:val="365F91" w:themeColor="accent1" w:themeShade="BF"/>
        </w:rPr>
        <w:t>The Freedom of Information Act state that the appropriate limit to be applied to requests received by the ICB is £450 (equivalent to 18 hours of work at £25 per hour) in estimating the cost of complying with the request for information, the ICB can only take into account any reasonable costs incurred in:</w:t>
      </w:r>
    </w:p>
    <w:p w14:paraId="305F9A16" w14:textId="77777777" w:rsidR="001E0D14" w:rsidRDefault="00DF1384" w:rsidP="001E0D14">
      <w:pPr>
        <w:pStyle w:val="ListParagraph"/>
        <w:numPr>
          <w:ilvl w:val="0"/>
          <w:numId w:val="14"/>
        </w:numPr>
        <w:shd w:val="clear" w:color="auto" w:fill="FFFFFF"/>
        <w:spacing w:before="100" w:beforeAutospacing="1"/>
        <w:jc w:val="both"/>
        <w:rPr>
          <w:rFonts w:ascii="Arial" w:hAnsi="Arial" w:cs="Arial"/>
          <w:color w:val="365F91" w:themeColor="accent1" w:themeShade="BF"/>
        </w:rPr>
      </w:pPr>
      <w:r w:rsidRPr="001E0D14">
        <w:rPr>
          <w:rFonts w:ascii="Arial" w:hAnsi="Arial" w:cs="Arial"/>
          <w:color w:val="365F91" w:themeColor="accent1" w:themeShade="BF"/>
        </w:rPr>
        <w:t xml:space="preserve">Determining whether it holds the information, </w:t>
      </w:r>
    </w:p>
    <w:p w14:paraId="1A09D5F9" w14:textId="77777777" w:rsidR="001E0D14" w:rsidRDefault="00DF1384" w:rsidP="001E0D14">
      <w:pPr>
        <w:pStyle w:val="ListParagraph"/>
        <w:numPr>
          <w:ilvl w:val="0"/>
          <w:numId w:val="14"/>
        </w:numPr>
        <w:shd w:val="clear" w:color="auto" w:fill="FFFFFF"/>
        <w:spacing w:before="100" w:beforeAutospacing="1"/>
        <w:jc w:val="both"/>
        <w:rPr>
          <w:rFonts w:ascii="Arial" w:hAnsi="Arial" w:cs="Arial"/>
          <w:color w:val="365F91" w:themeColor="accent1" w:themeShade="BF"/>
        </w:rPr>
      </w:pPr>
      <w:r w:rsidRPr="001E0D14">
        <w:rPr>
          <w:rFonts w:ascii="Arial" w:hAnsi="Arial" w:cs="Arial"/>
          <w:color w:val="365F91" w:themeColor="accent1" w:themeShade="BF"/>
        </w:rPr>
        <w:t>Locating the information, or document which may contains the information,</w:t>
      </w:r>
    </w:p>
    <w:p w14:paraId="252D799B" w14:textId="77777777" w:rsidR="001E0D14" w:rsidRDefault="00DF1384" w:rsidP="001E0D14">
      <w:pPr>
        <w:pStyle w:val="ListParagraph"/>
        <w:numPr>
          <w:ilvl w:val="0"/>
          <w:numId w:val="14"/>
        </w:numPr>
        <w:shd w:val="clear" w:color="auto" w:fill="FFFFFF"/>
        <w:spacing w:before="100" w:beforeAutospacing="1"/>
        <w:jc w:val="both"/>
        <w:rPr>
          <w:rFonts w:ascii="Arial" w:hAnsi="Arial" w:cs="Arial"/>
          <w:color w:val="365F91" w:themeColor="accent1" w:themeShade="BF"/>
        </w:rPr>
      </w:pPr>
      <w:r w:rsidRPr="001E0D14">
        <w:rPr>
          <w:rFonts w:ascii="Arial" w:hAnsi="Arial" w:cs="Arial"/>
          <w:color w:val="365F91" w:themeColor="accent1" w:themeShade="BF"/>
        </w:rPr>
        <w:t>Retrieving the information, or document which may contain the information, an</w:t>
      </w:r>
      <w:r w:rsidR="001E0D14">
        <w:rPr>
          <w:rFonts w:ascii="Arial" w:hAnsi="Arial" w:cs="Arial"/>
          <w:color w:val="365F91" w:themeColor="accent1" w:themeShade="BF"/>
        </w:rPr>
        <w:t>d</w:t>
      </w:r>
    </w:p>
    <w:p w14:paraId="26913BD1" w14:textId="75930B82" w:rsidR="00DF1384" w:rsidRPr="001E0D14" w:rsidRDefault="00DF1384" w:rsidP="001E0D14">
      <w:pPr>
        <w:pStyle w:val="ListParagraph"/>
        <w:numPr>
          <w:ilvl w:val="0"/>
          <w:numId w:val="14"/>
        </w:numPr>
        <w:shd w:val="clear" w:color="auto" w:fill="FFFFFF"/>
        <w:spacing w:before="100" w:beforeAutospacing="1"/>
        <w:jc w:val="both"/>
        <w:rPr>
          <w:rFonts w:ascii="Arial" w:hAnsi="Arial" w:cs="Arial"/>
          <w:color w:val="365F91" w:themeColor="accent1" w:themeShade="BF"/>
        </w:rPr>
      </w:pPr>
      <w:r w:rsidRPr="001E0D14">
        <w:rPr>
          <w:rFonts w:ascii="Arial" w:hAnsi="Arial" w:cs="Arial"/>
          <w:color w:val="365F91" w:themeColor="accent1" w:themeShade="BF"/>
        </w:rPr>
        <w:t>Extracting the information from a document containing it.</w:t>
      </w:r>
    </w:p>
    <w:p w14:paraId="2EF0E86B" w14:textId="74EFFDA2" w:rsidR="00C72740" w:rsidRPr="001E0D14" w:rsidRDefault="00DF1384" w:rsidP="001E0D14">
      <w:pPr>
        <w:shd w:val="clear" w:color="auto" w:fill="FFFFFF"/>
        <w:spacing w:before="100" w:beforeAutospacing="1"/>
        <w:ind w:left="720"/>
        <w:jc w:val="both"/>
        <w:rPr>
          <w:rFonts w:ascii="Arial" w:hAnsi="Arial" w:cs="Arial"/>
          <w:color w:val="365F91" w:themeColor="accent1" w:themeShade="BF"/>
        </w:rPr>
      </w:pPr>
      <w:r w:rsidRPr="001E0D14">
        <w:rPr>
          <w:rFonts w:ascii="Arial" w:hAnsi="Arial" w:cs="Arial"/>
          <w:color w:val="365F91" w:themeColor="accent1" w:themeShade="BF"/>
        </w:rPr>
        <w:t>We estimate that obtaining and reviewing the records and collating a response would exceed the limit of 18 hours set out in the Act.</w:t>
      </w:r>
    </w:p>
    <w:p w14:paraId="5E8559BF" w14:textId="77777777" w:rsidR="00C72740" w:rsidRDefault="00C72740" w:rsidP="00C72740">
      <w:pPr>
        <w:numPr>
          <w:ilvl w:val="0"/>
          <w:numId w:val="6"/>
        </w:numPr>
        <w:shd w:val="clear" w:color="auto" w:fill="FFFFFF"/>
        <w:spacing w:before="100" w:beforeAutospacing="1" w:after="0" w:line="240" w:lineRule="auto"/>
        <w:jc w:val="both"/>
        <w:rPr>
          <w:rFonts w:ascii="Arial" w:eastAsia="Times New Roman" w:hAnsi="Arial" w:cs="Arial"/>
          <w:i/>
          <w:iCs/>
        </w:rPr>
      </w:pPr>
      <w:r>
        <w:rPr>
          <w:rFonts w:ascii="Arial" w:eastAsia="Times New Roman" w:hAnsi="Arial" w:cs="Arial"/>
          <w:i/>
          <w:iCs/>
          <w:color w:val="000000"/>
        </w:rPr>
        <w:t>The number of providers you commission on a spot purchase or framework arrangement to provide specialist Complex Care and Support Services within your ICB/LA boundary as of 2</w:t>
      </w:r>
      <w:r>
        <w:rPr>
          <w:rFonts w:ascii="Arial" w:eastAsia="Times New Roman" w:hAnsi="Arial" w:cs="Arial"/>
          <w:i/>
          <w:iCs/>
          <w:color w:val="000000"/>
          <w:vertAlign w:val="superscript"/>
        </w:rPr>
        <w:t>nd</w:t>
      </w:r>
      <w:r>
        <w:rPr>
          <w:rFonts w:ascii="Arial" w:eastAsia="Times New Roman" w:hAnsi="Arial" w:cs="Arial"/>
          <w:i/>
          <w:iCs/>
          <w:color w:val="000000"/>
        </w:rPr>
        <w:t>January 2023.</w:t>
      </w:r>
    </w:p>
    <w:p w14:paraId="2E5524BC" w14:textId="35DC4665" w:rsidR="00C72740" w:rsidRPr="00C72740" w:rsidRDefault="00C72740" w:rsidP="00C72740">
      <w:pPr>
        <w:shd w:val="clear" w:color="auto" w:fill="FFFFFF"/>
        <w:spacing w:before="100" w:beforeAutospacing="1" w:after="0" w:line="240" w:lineRule="auto"/>
        <w:ind w:left="720"/>
        <w:jc w:val="both"/>
        <w:rPr>
          <w:rFonts w:ascii="Arial" w:eastAsia="Times New Roman" w:hAnsi="Arial" w:cs="Arial"/>
          <w:i/>
          <w:iCs/>
          <w:color w:val="365F91" w:themeColor="accent1" w:themeShade="BF"/>
        </w:rPr>
      </w:pPr>
      <w:r w:rsidRPr="00C72740">
        <w:rPr>
          <w:rFonts w:ascii="Arial" w:hAnsi="Arial" w:cs="Arial"/>
          <w:color w:val="365F91" w:themeColor="accent1" w:themeShade="BF"/>
        </w:rPr>
        <w:t>The total number of framework providers for adult home care commissioned by NHS Nottingham and Nottinghamshire ICB is 47. (On procurement, these providers were not required to specify whether they could take on complex care patients).</w:t>
      </w:r>
    </w:p>
    <w:p w14:paraId="136F1186" w14:textId="18428AA1" w:rsidR="00C72740" w:rsidRPr="00C72740" w:rsidRDefault="00C72740" w:rsidP="00C72740">
      <w:pPr>
        <w:shd w:val="clear" w:color="auto" w:fill="FFFFFF"/>
        <w:spacing w:before="100" w:beforeAutospacing="1"/>
        <w:ind w:left="720"/>
        <w:jc w:val="both"/>
        <w:rPr>
          <w:rFonts w:ascii="Arial" w:hAnsi="Arial" w:cs="Arial"/>
          <w:color w:val="365F91" w:themeColor="accent1" w:themeShade="BF"/>
        </w:rPr>
      </w:pPr>
      <w:r w:rsidRPr="00C72740">
        <w:rPr>
          <w:rFonts w:ascii="Arial" w:hAnsi="Arial" w:cs="Arial"/>
          <w:color w:val="365F91" w:themeColor="accent1" w:themeShade="BF"/>
        </w:rPr>
        <w:t>The total number of adult care homes on framework commissioned by NHS Nottingham and Nottinghamshire ICB is 354 (these include specialist complex care homes).</w:t>
      </w:r>
    </w:p>
    <w:p w14:paraId="43434BF0" w14:textId="23979A39" w:rsidR="00C72740" w:rsidRPr="00C72740" w:rsidRDefault="00C72740" w:rsidP="00C72740">
      <w:pPr>
        <w:shd w:val="clear" w:color="auto" w:fill="FFFFFF"/>
        <w:spacing w:before="100" w:beforeAutospacing="1"/>
        <w:ind w:left="720"/>
        <w:jc w:val="both"/>
        <w:rPr>
          <w:rFonts w:ascii="Arial" w:hAnsi="Arial" w:cs="Arial"/>
          <w:color w:val="365F91" w:themeColor="accent1" w:themeShade="BF"/>
        </w:rPr>
      </w:pPr>
      <w:r w:rsidRPr="00C72740">
        <w:rPr>
          <w:rFonts w:ascii="Arial" w:hAnsi="Arial" w:cs="Arial"/>
          <w:color w:val="365F91" w:themeColor="accent1" w:themeShade="BF"/>
        </w:rPr>
        <w:t>The total number of framework providers for NHS Nottingham and Nottinghamshire ICB for children home care is 4.</w:t>
      </w:r>
    </w:p>
    <w:p w14:paraId="3DB79EC5" w14:textId="6923F5BF" w:rsidR="00C72740" w:rsidRPr="00C72740" w:rsidRDefault="00C72740" w:rsidP="00C72740">
      <w:pPr>
        <w:numPr>
          <w:ilvl w:val="0"/>
          <w:numId w:val="6"/>
        </w:numPr>
        <w:shd w:val="clear" w:color="auto" w:fill="FFFFFF"/>
        <w:spacing w:before="100" w:beforeAutospacing="1" w:after="0" w:line="240" w:lineRule="auto"/>
        <w:jc w:val="both"/>
        <w:rPr>
          <w:rFonts w:ascii="Arial" w:eastAsia="Times New Roman" w:hAnsi="Arial" w:cs="Arial"/>
          <w:i/>
          <w:iCs/>
        </w:rPr>
      </w:pPr>
      <w:r>
        <w:rPr>
          <w:rFonts w:ascii="Arial" w:eastAsia="Times New Roman" w:hAnsi="Arial" w:cs="Arial"/>
          <w:i/>
          <w:iCs/>
          <w:color w:val="000000"/>
        </w:rPr>
        <w:t>The number of providers specialising in post Spinal Injury Care and Support Services within your ICB/LA boundary as of 2</w:t>
      </w:r>
      <w:r>
        <w:rPr>
          <w:rFonts w:ascii="Arial" w:eastAsia="Times New Roman" w:hAnsi="Arial" w:cs="Arial"/>
          <w:i/>
          <w:iCs/>
          <w:color w:val="000000"/>
          <w:vertAlign w:val="superscript"/>
        </w:rPr>
        <w:t>nd</w:t>
      </w:r>
      <w:r>
        <w:rPr>
          <w:rFonts w:ascii="Arial" w:eastAsia="Times New Roman" w:hAnsi="Arial" w:cs="Arial"/>
          <w:i/>
          <w:iCs/>
          <w:color w:val="000000"/>
        </w:rPr>
        <w:t xml:space="preserve"> January 2023.</w:t>
      </w:r>
    </w:p>
    <w:p w14:paraId="31F6AEB5" w14:textId="2BBA1D0B" w:rsidR="00C72740" w:rsidRPr="00C72740" w:rsidRDefault="00C72740" w:rsidP="00C72740">
      <w:pPr>
        <w:shd w:val="clear" w:color="auto" w:fill="FFFFFF"/>
        <w:spacing w:before="100" w:beforeAutospacing="1"/>
        <w:ind w:left="720"/>
        <w:jc w:val="both"/>
        <w:rPr>
          <w:rFonts w:ascii="Arial" w:hAnsi="Arial" w:cs="Arial"/>
          <w:color w:val="365F91" w:themeColor="accent1" w:themeShade="BF"/>
          <w:lang w:val="en-GB" w:eastAsia="en-GB"/>
        </w:rPr>
      </w:pPr>
      <w:r w:rsidRPr="00C72740">
        <w:rPr>
          <w:rFonts w:ascii="Arial" w:hAnsi="Arial" w:cs="Arial"/>
          <w:color w:val="365F91" w:themeColor="accent1" w:themeShade="BF"/>
        </w:rPr>
        <w:t>NHS Nottingham and Nottinghamshire ICB is not able to respond to this question as the ICB does not define providers by the area they specialise in.</w:t>
      </w:r>
    </w:p>
    <w:p w14:paraId="4852CE2C" w14:textId="17D488F3" w:rsidR="00C72740" w:rsidRPr="00C72740" w:rsidRDefault="00C72740" w:rsidP="00C72740">
      <w:pPr>
        <w:numPr>
          <w:ilvl w:val="0"/>
          <w:numId w:val="6"/>
        </w:numPr>
        <w:shd w:val="clear" w:color="auto" w:fill="FFFFFF"/>
        <w:spacing w:before="100" w:beforeAutospacing="1" w:after="0" w:line="240" w:lineRule="auto"/>
        <w:jc w:val="both"/>
        <w:rPr>
          <w:rFonts w:ascii="Arial" w:eastAsia="Times New Roman" w:hAnsi="Arial" w:cs="Arial"/>
          <w:i/>
          <w:iCs/>
        </w:rPr>
      </w:pPr>
      <w:r>
        <w:rPr>
          <w:rFonts w:ascii="Arial" w:eastAsia="Times New Roman" w:hAnsi="Arial" w:cs="Arial"/>
          <w:i/>
          <w:iCs/>
          <w:color w:val="000000"/>
        </w:rPr>
        <w:t>The number of independent (private or voluntary) specialist Complex Care and Support providers commissioned by your ICB/LA from 2</w:t>
      </w:r>
      <w:r>
        <w:rPr>
          <w:rFonts w:ascii="Arial" w:eastAsia="Times New Roman" w:hAnsi="Arial" w:cs="Arial"/>
          <w:i/>
          <w:iCs/>
          <w:color w:val="000000"/>
          <w:vertAlign w:val="superscript"/>
        </w:rPr>
        <w:t>nd</w:t>
      </w:r>
      <w:r>
        <w:rPr>
          <w:rFonts w:ascii="Arial" w:eastAsia="Times New Roman" w:hAnsi="Arial" w:cs="Arial"/>
          <w:i/>
          <w:iCs/>
          <w:color w:val="000000"/>
        </w:rPr>
        <w:t xml:space="preserve"> January 2023 under a block contract arrangement, if appropriate please advise of the format of this provision.</w:t>
      </w:r>
    </w:p>
    <w:p w14:paraId="4F96914B" w14:textId="2F937F7C" w:rsidR="00C72740" w:rsidRPr="00C72740" w:rsidRDefault="00C72740" w:rsidP="00C72740">
      <w:pPr>
        <w:pStyle w:val="ListParagraph"/>
        <w:shd w:val="clear" w:color="auto" w:fill="FFFFFF"/>
        <w:spacing w:before="100" w:beforeAutospacing="1"/>
        <w:jc w:val="both"/>
        <w:rPr>
          <w:rFonts w:ascii="Arial" w:hAnsi="Arial" w:cs="Arial"/>
          <w:color w:val="365F91" w:themeColor="accent1" w:themeShade="BF"/>
          <w:lang w:val="en-GB" w:eastAsia="en-GB"/>
        </w:rPr>
      </w:pPr>
      <w:r w:rsidRPr="00C72740">
        <w:rPr>
          <w:rFonts w:ascii="Arial" w:hAnsi="Arial" w:cs="Arial"/>
          <w:color w:val="365F91" w:themeColor="accent1" w:themeShade="BF"/>
        </w:rPr>
        <w:t xml:space="preserve">Kindly refer to question 3 above.  </w:t>
      </w:r>
    </w:p>
    <w:p w14:paraId="2BBC4953" w14:textId="77777777" w:rsidR="00C72740" w:rsidRDefault="00C72740" w:rsidP="00C72740">
      <w:pPr>
        <w:pStyle w:val="NormalWeb"/>
        <w:shd w:val="clear" w:color="auto" w:fill="FFFFFF"/>
        <w:spacing w:before="240" w:beforeAutospacing="0"/>
        <w:jc w:val="both"/>
        <w:rPr>
          <w:rFonts w:ascii="Arial" w:hAnsi="Arial" w:cs="Arial"/>
          <w:i/>
          <w:iCs/>
        </w:rPr>
      </w:pPr>
      <w:r>
        <w:rPr>
          <w:rFonts w:ascii="Arial" w:hAnsi="Arial" w:cs="Arial"/>
          <w:b/>
          <w:bCs/>
          <w:i/>
          <w:iCs/>
          <w:color w:val="000000"/>
        </w:rPr>
        <w:t>Individuals in receipt of CHC funded care and support package Statistics</w:t>
      </w:r>
    </w:p>
    <w:p w14:paraId="7155B8BC" w14:textId="77777777" w:rsidR="00C72740" w:rsidRDefault="00C72740" w:rsidP="00C72740">
      <w:pPr>
        <w:pStyle w:val="NormalWeb"/>
        <w:shd w:val="clear" w:color="auto" w:fill="FFFFFF"/>
        <w:spacing w:before="240" w:beforeAutospacing="0"/>
        <w:jc w:val="both"/>
        <w:rPr>
          <w:rFonts w:ascii="Arial" w:hAnsi="Arial" w:cs="Arial"/>
          <w:i/>
          <w:iCs/>
        </w:rPr>
      </w:pPr>
      <w:r>
        <w:rPr>
          <w:rFonts w:ascii="Arial" w:hAnsi="Arial" w:cs="Arial"/>
          <w:i/>
          <w:iCs/>
          <w:color w:val="000000"/>
        </w:rPr>
        <w:t>Please advise;</w:t>
      </w:r>
    </w:p>
    <w:p w14:paraId="009CFE5C" w14:textId="47DDC8CF" w:rsidR="00C72740" w:rsidRPr="00C72740" w:rsidRDefault="00C72740" w:rsidP="00C72740">
      <w:pPr>
        <w:numPr>
          <w:ilvl w:val="0"/>
          <w:numId w:val="7"/>
        </w:numPr>
        <w:shd w:val="clear" w:color="auto" w:fill="FFFFFF"/>
        <w:spacing w:before="100" w:beforeAutospacing="1" w:after="0" w:line="240" w:lineRule="auto"/>
        <w:jc w:val="both"/>
        <w:rPr>
          <w:rFonts w:ascii="Arial" w:eastAsia="Times New Roman" w:hAnsi="Arial" w:cs="Arial"/>
          <w:i/>
          <w:iCs/>
        </w:rPr>
      </w:pPr>
      <w:r>
        <w:rPr>
          <w:rFonts w:ascii="Arial" w:eastAsia="Times New Roman" w:hAnsi="Arial" w:cs="Arial"/>
          <w:i/>
          <w:iCs/>
          <w:color w:val="000000"/>
        </w:rPr>
        <w:t>The number of individuals (children and adults) currently receiving care and support from a provider commissioned by your ICB/ LA with CHC funding in place with Complex Care and Support needs.</w:t>
      </w:r>
    </w:p>
    <w:p w14:paraId="55884560" w14:textId="1DB10540" w:rsidR="00C72740" w:rsidRDefault="00C72740" w:rsidP="00C72740">
      <w:pPr>
        <w:pStyle w:val="ListParagraph"/>
        <w:shd w:val="clear" w:color="auto" w:fill="FFFFFF"/>
        <w:spacing w:before="100" w:beforeAutospacing="1"/>
        <w:jc w:val="both"/>
        <w:rPr>
          <w:rFonts w:ascii="Arial" w:hAnsi="Arial" w:cs="Arial"/>
          <w:color w:val="365F91" w:themeColor="accent1" w:themeShade="BF"/>
        </w:rPr>
      </w:pPr>
      <w:r w:rsidRPr="00C72740">
        <w:rPr>
          <w:rFonts w:ascii="Arial" w:hAnsi="Arial" w:cs="Arial"/>
          <w:color w:val="365F91" w:themeColor="accent1" w:themeShade="BF"/>
        </w:rPr>
        <w:t xml:space="preserve">The number of children and adults currently receiving care and support </w:t>
      </w:r>
      <w:r w:rsidR="00CC3B07">
        <w:rPr>
          <w:rFonts w:ascii="Arial" w:hAnsi="Arial" w:cs="Arial"/>
          <w:color w:val="365F91" w:themeColor="accent1" w:themeShade="BF"/>
        </w:rPr>
        <w:t>with a</w:t>
      </w:r>
      <w:r w:rsidRPr="00C72740">
        <w:rPr>
          <w:rFonts w:ascii="Arial" w:hAnsi="Arial" w:cs="Arial"/>
          <w:color w:val="365F91" w:themeColor="accent1" w:themeShade="BF"/>
        </w:rPr>
        <w:t xml:space="preserve"> Nottingham and Nottinghamshire </w:t>
      </w:r>
      <w:r w:rsidR="00CC3B07">
        <w:rPr>
          <w:rFonts w:ascii="Arial" w:hAnsi="Arial" w:cs="Arial"/>
          <w:color w:val="365F91" w:themeColor="accent1" w:themeShade="BF"/>
        </w:rPr>
        <w:t xml:space="preserve">postcode </w:t>
      </w:r>
      <w:r w:rsidRPr="00C72740">
        <w:rPr>
          <w:rFonts w:ascii="Arial" w:hAnsi="Arial" w:cs="Arial"/>
          <w:color w:val="365F91" w:themeColor="accent1" w:themeShade="BF"/>
        </w:rPr>
        <w:t xml:space="preserve">is 1014.  </w:t>
      </w:r>
    </w:p>
    <w:p w14:paraId="35E214C8" w14:textId="1E48FC90" w:rsidR="00CC3B07" w:rsidRPr="001E0D14" w:rsidRDefault="00CC3B07" w:rsidP="001E0D14">
      <w:pPr>
        <w:shd w:val="clear" w:color="auto" w:fill="FFFFFF"/>
        <w:spacing w:before="100" w:beforeAutospacing="1"/>
        <w:ind w:left="720"/>
        <w:jc w:val="both"/>
        <w:rPr>
          <w:rFonts w:ascii="Arial" w:hAnsi="Arial" w:cs="Arial"/>
          <w:color w:val="365F91" w:themeColor="accent1" w:themeShade="BF"/>
        </w:rPr>
      </w:pPr>
      <w:r w:rsidRPr="001E0D14">
        <w:rPr>
          <w:rFonts w:ascii="Arial" w:hAnsi="Arial" w:cs="Arial"/>
          <w:color w:val="365F91" w:themeColor="accent1" w:themeShade="BF"/>
        </w:rPr>
        <w:lastRenderedPageBreak/>
        <w:t xml:space="preserve">In relation to the number of individuals with CHC funded in place with complex care and support need with a Bassetlaw postcode, the system in place would require an extensive exercise to go into each individual record to extract the information and the ICB have applied the exemption below. </w:t>
      </w:r>
    </w:p>
    <w:p w14:paraId="5ECCA328" w14:textId="77777777" w:rsidR="001E0D14" w:rsidRPr="001E0D14" w:rsidRDefault="001E0D14" w:rsidP="001E0D14">
      <w:pPr>
        <w:shd w:val="clear" w:color="auto" w:fill="FFFFFF"/>
        <w:spacing w:before="100" w:beforeAutospacing="1"/>
        <w:ind w:left="720"/>
        <w:jc w:val="both"/>
        <w:rPr>
          <w:rFonts w:ascii="Arial" w:hAnsi="Arial" w:cs="Arial"/>
          <w:color w:val="365F91" w:themeColor="accent1" w:themeShade="BF"/>
        </w:rPr>
      </w:pPr>
      <w:r w:rsidRPr="001E0D14">
        <w:rPr>
          <w:rFonts w:ascii="Arial" w:hAnsi="Arial" w:cs="Arial"/>
          <w:color w:val="365F91" w:themeColor="accent1" w:themeShade="BF"/>
        </w:rPr>
        <w:t xml:space="preserve">Section 12 (Cost Limit Exemption) </w:t>
      </w:r>
    </w:p>
    <w:p w14:paraId="6B9C18E2" w14:textId="77777777" w:rsidR="001E0D14" w:rsidRPr="001E0D14" w:rsidRDefault="001E0D14" w:rsidP="001E0D14">
      <w:pPr>
        <w:shd w:val="clear" w:color="auto" w:fill="FFFFFF"/>
        <w:spacing w:before="100" w:beforeAutospacing="1"/>
        <w:ind w:left="720"/>
        <w:jc w:val="both"/>
        <w:rPr>
          <w:rFonts w:ascii="Arial" w:hAnsi="Arial" w:cs="Arial"/>
          <w:color w:val="365F91" w:themeColor="accent1" w:themeShade="BF"/>
        </w:rPr>
      </w:pPr>
      <w:r w:rsidRPr="001E0D14">
        <w:rPr>
          <w:rFonts w:ascii="Arial" w:hAnsi="Arial" w:cs="Arial"/>
          <w:color w:val="365F91" w:themeColor="accent1" w:themeShade="BF"/>
        </w:rPr>
        <w:t xml:space="preserve">The ICB does hold the information in relation to your request, however, it is not possible to provide the information without undertaking an exercise to locate, retrieve and extract records for each of the individual records and this would equate to a significant amount of time to ensure the accurate extraction of information and exceed the appropriate cost limit of £450. </w:t>
      </w:r>
    </w:p>
    <w:p w14:paraId="5E7390C2" w14:textId="77777777" w:rsidR="001E0D14" w:rsidRPr="001E0D14" w:rsidRDefault="001E0D14" w:rsidP="001E0D14">
      <w:pPr>
        <w:shd w:val="clear" w:color="auto" w:fill="FFFFFF"/>
        <w:spacing w:before="100" w:beforeAutospacing="1"/>
        <w:ind w:left="720"/>
        <w:jc w:val="both"/>
        <w:rPr>
          <w:rFonts w:ascii="Arial" w:hAnsi="Arial" w:cs="Arial"/>
          <w:color w:val="365F91" w:themeColor="accent1" w:themeShade="BF"/>
        </w:rPr>
      </w:pPr>
      <w:r w:rsidRPr="001E0D14">
        <w:rPr>
          <w:rFonts w:ascii="Arial" w:hAnsi="Arial" w:cs="Arial"/>
          <w:color w:val="365F91" w:themeColor="accent1" w:themeShade="BF"/>
        </w:rPr>
        <w:t>The Freedom of Information Act state that the appropriate limit to be applied to requests received by the ICB is £450 (equivalent to 18 hours of work at £25 per hour) in estimating the cost of complying with the request for information, the ICB can only take into account any reasonable costs incurred in:</w:t>
      </w:r>
    </w:p>
    <w:p w14:paraId="128549A8" w14:textId="77777777" w:rsidR="001E0D14" w:rsidRDefault="001E0D14" w:rsidP="001E0D14">
      <w:pPr>
        <w:pStyle w:val="ListParagraph"/>
        <w:numPr>
          <w:ilvl w:val="0"/>
          <w:numId w:val="14"/>
        </w:numPr>
        <w:shd w:val="clear" w:color="auto" w:fill="FFFFFF"/>
        <w:spacing w:before="100" w:beforeAutospacing="1"/>
        <w:jc w:val="both"/>
        <w:rPr>
          <w:rFonts w:ascii="Arial" w:hAnsi="Arial" w:cs="Arial"/>
          <w:color w:val="365F91" w:themeColor="accent1" w:themeShade="BF"/>
        </w:rPr>
      </w:pPr>
      <w:r w:rsidRPr="001E0D14">
        <w:rPr>
          <w:rFonts w:ascii="Arial" w:hAnsi="Arial" w:cs="Arial"/>
          <w:color w:val="365F91" w:themeColor="accent1" w:themeShade="BF"/>
        </w:rPr>
        <w:t xml:space="preserve">Determining whether it holds the information, </w:t>
      </w:r>
    </w:p>
    <w:p w14:paraId="1E676A14" w14:textId="77777777" w:rsidR="001E0D14" w:rsidRDefault="001E0D14" w:rsidP="001E0D14">
      <w:pPr>
        <w:pStyle w:val="ListParagraph"/>
        <w:numPr>
          <w:ilvl w:val="0"/>
          <w:numId w:val="14"/>
        </w:numPr>
        <w:shd w:val="clear" w:color="auto" w:fill="FFFFFF"/>
        <w:spacing w:before="100" w:beforeAutospacing="1"/>
        <w:jc w:val="both"/>
        <w:rPr>
          <w:rFonts w:ascii="Arial" w:hAnsi="Arial" w:cs="Arial"/>
          <w:color w:val="365F91" w:themeColor="accent1" w:themeShade="BF"/>
        </w:rPr>
      </w:pPr>
      <w:r w:rsidRPr="001E0D14">
        <w:rPr>
          <w:rFonts w:ascii="Arial" w:hAnsi="Arial" w:cs="Arial"/>
          <w:color w:val="365F91" w:themeColor="accent1" w:themeShade="BF"/>
        </w:rPr>
        <w:t>Locating the information, or document which may contains the information,</w:t>
      </w:r>
    </w:p>
    <w:p w14:paraId="005D5604" w14:textId="77777777" w:rsidR="001E0D14" w:rsidRDefault="001E0D14" w:rsidP="001E0D14">
      <w:pPr>
        <w:pStyle w:val="ListParagraph"/>
        <w:numPr>
          <w:ilvl w:val="0"/>
          <w:numId w:val="14"/>
        </w:numPr>
        <w:shd w:val="clear" w:color="auto" w:fill="FFFFFF"/>
        <w:spacing w:before="100" w:beforeAutospacing="1"/>
        <w:jc w:val="both"/>
        <w:rPr>
          <w:rFonts w:ascii="Arial" w:hAnsi="Arial" w:cs="Arial"/>
          <w:color w:val="365F91" w:themeColor="accent1" w:themeShade="BF"/>
        </w:rPr>
      </w:pPr>
      <w:r w:rsidRPr="001E0D14">
        <w:rPr>
          <w:rFonts w:ascii="Arial" w:hAnsi="Arial" w:cs="Arial"/>
          <w:color w:val="365F91" w:themeColor="accent1" w:themeShade="BF"/>
        </w:rPr>
        <w:t>Retrieving the information, or document which may contain the information, an</w:t>
      </w:r>
      <w:r>
        <w:rPr>
          <w:rFonts w:ascii="Arial" w:hAnsi="Arial" w:cs="Arial"/>
          <w:color w:val="365F91" w:themeColor="accent1" w:themeShade="BF"/>
        </w:rPr>
        <w:t>d</w:t>
      </w:r>
    </w:p>
    <w:p w14:paraId="17B97547" w14:textId="77777777" w:rsidR="001E0D14" w:rsidRPr="001E0D14" w:rsidRDefault="001E0D14" w:rsidP="001E0D14">
      <w:pPr>
        <w:pStyle w:val="ListParagraph"/>
        <w:numPr>
          <w:ilvl w:val="0"/>
          <w:numId w:val="14"/>
        </w:numPr>
        <w:shd w:val="clear" w:color="auto" w:fill="FFFFFF"/>
        <w:spacing w:before="100" w:beforeAutospacing="1"/>
        <w:jc w:val="both"/>
        <w:rPr>
          <w:rFonts w:ascii="Arial" w:hAnsi="Arial" w:cs="Arial"/>
          <w:color w:val="365F91" w:themeColor="accent1" w:themeShade="BF"/>
        </w:rPr>
      </w:pPr>
      <w:r w:rsidRPr="001E0D14">
        <w:rPr>
          <w:rFonts w:ascii="Arial" w:hAnsi="Arial" w:cs="Arial"/>
          <w:color w:val="365F91" w:themeColor="accent1" w:themeShade="BF"/>
        </w:rPr>
        <w:t>Extracting the information from a document containing it.</w:t>
      </w:r>
    </w:p>
    <w:p w14:paraId="40D4E382" w14:textId="77777777" w:rsidR="001E0D14" w:rsidRPr="001E0D14" w:rsidRDefault="001E0D14" w:rsidP="001E0D14">
      <w:pPr>
        <w:shd w:val="clear" w:color="auto" w:fill="FFFFFF"/>
        <w:spacing w:before="100" w:beforeAutospacing="1"/>
        <w:ind w:left="720"/>
        <w:jc w:val="both"/>
        <w:rPr>
          <w:rFonts w:ascii="Arial" w:hAnsi="Arial" w:cs="Arial"/>
          <w:color w:val="365F91" w:themeColor="accent1" w:themeShade="BF"/>
        </w:rPr>
      </w:pPr>
      <w:r w:rsidRPr="001E0D14">
        <w:rPr>
          <w:rFonts w:ascii="Arial" w:hAnsi="Arial" w:cs="Arial"/>
          <w:color w:val="365F91" w:themeColor="accent1" w:themeShade="BF"/>
        </w:rPr>
        <w:t>We estimate that obtaining and reviewing the records and collating a response would exceed the limit of 18 hours set out in the Act.</w:t>
      </w:r>
    </w:p>
    <w:p w14:paraId="21D6BEDB" w14:textId="66D56013" w:rsidR="00C72740" w:rsidRPr="00C72740" w:rsidRDefault="00C72740" w:rsidP="00C72740">
      <w:pPr>
        <w:numPr>
          <w:ilvl w:val="0"/>
          <w:numId w:val="7"/>
        </w:numPr>
        <w:shd w:val="clear" w:color="auto" w:fill="FFFFFF"/>
        <w:spacing w:before="240" w:after="0" w:line="240" w:lineRule="auto"/>
        <w:ind w:right="720"/>
        <w:jc w:val="both"/>
        <w:rPr>
          <w:rFonts w:ascii="Arial" w:eastAsia="Times New Roman" w:hAnsi="Arial" w:cs="Arial"/>
          <w:i/>
          <w:iCs/>
        </w:rPr>
      </w:pPr>
      <w:r>
        <w:rPr>
          <w:rFonts w:ascii="Arial" w:eastAsia="Times New Roman" w:hAnsi="Arial" w:cs="Arial"/>
          <w:i/>
          <w:iCs/>
          <w:color w:val="000000"/>
        </w:rPr>
        <w:t>The number of individuals (children and adults) currently receiving care and support within their own home setting from a provider commissioned by an outside ICB/LA living but within your ICB/LA boundary.</w:t>
      </w:r>
    </w:p>
    <w:p w14:paraId="22D3A94C" w14:textId="249F39AB" w:rsidR="00C72740" w:rsidRPr="00C72740" w:rsidRDefault="00C72740" w:rsidP="00C72740">
      <w:pPr>
        <w:pStyle w:val="ListParagraph"/>
        <w:shd w:val="clear" w:color="auto" w:fill="FFFFFF"/>
        <w:spacing w:before="240"/>
        <w:ind w:right="720"/>
        <w:jc w:val="both"/>
        <w:rPr>
          <w:rFonts w:ascii="Arial" w:hAnsi="Arial" w:cs="Arial"/>
          <w:color w:val="365F91" w:themeColor="accent1" w:themeShade="BF"/>
          <w:lang w:val="en-GB" w:eastAsia="en-GB"/>
        </w:rPr>
      </w:pPr>
      <w:r w:rsidRPr="00C72740">
        <w:rPr>
          <w:rFonts w:ascii="Arial" w:hAnsi="Arial" w:cs="Arial"/>
          <w:color w:val="365F91" w:themeColor="accent1" w:themeShade="BF"/>
        </w:rPr>
        <w:t>There are no out of area ICBs commissioning continuing healthcare or continuing care homecare packages for children and adults in Nottinghamshire because responsibility transfers to the local ICB on registration with a local GP.</w:t>
      </w:r>
    </w:p>
    <w:p w14:paraId="46648A36" w14:textId="5517FA83" w:rsidR="00C72740" w:rsidRPr="00C72740" w:rsidRDefault="00C72740" w:rsidP="00C72740">
      <w:pPr>
        <w:numPr>
          <w:ilvl w:val="0"/>
          <w:numId w:val="7"/>
        </w:numPr>
        <w:shd w:val="clear" w:color="auto" w:fill="FFFFFF"/>
        <w:spacing w:before="240" w:after="0" w:line="240" w:lineRule="auto"/>
        <w:ind w:right="720"/>
        <w:jc w:val="both"/>
        <w:rPr>
          <w:rFonts w:ascii="Arial" w:eastAsia="Times New Roman" w:hAnsi="Arial" w:cs="Arial"/>
          <w:i/>
          <w:iCs/>
        </w:rPr>
      </w:pPr>
      <w:r>
        <w:rPr>
          <w:rFonts w:ascii="Arial" w:eastAsia="Times New Roman" w:hAnsi="Arial" w:cs="Arial"/>
          <w:i/>
          <w:iCs/>
          <w:color w:val="000000"/>
        </w:rPr>
        <w:t>The number of individuals (children and adults) currently receiving care and support from a provider commissioned by your ICB/LA with CHC funding in place receiving over 80 hours per week care and support.</w:t>
      </w:r>
    </w:p>
    <w:p w14:paraId="04095D7E" w14:textId="631D8C2A" w:rsidR="00C72740" w:rsidRPr="00C72740" w:rsidRDefault="00C72740" w:rsidP="00C72740">
      <w:pPr>
        <w:pStyle w:val="ListParagraph"/>
        <w:shd w:val="clear" w:color="auto" w:fill="FFFFFF"/>
        <w:spacing w:before="240"/>
        <w:ind w:right="720"/>
        <w:jc w:val="both"/>
        <w:rPr>
          <w:rFonts w:ascii="Arial" w:hAnsi="Arial" w:cs="Arial"/>
          <w:color w:val="365F91" w:themeColor="accent1" w:themeShade="BF"/>
          <w:lang w:val="en-GB" w:eastAsia="en-GB"/>
        </w:rPr>
      </w:pPr>
      <w:r w:rsidRPr="00C72740">
        <w:rPr>
          <w:rFonts w:ascii="Arial" w:hAnsi="Arial" w:cs="Arial"/>
          <w:color w:val="365F91" w:themeColor="accent1" w:themeShade="BF"/>
        </w:rPr>
        <w:t>NHS Nottingham and Nottinghamshire ICB does not hold this information.</w:t>
      </w:r>
    </w:p>
    <w:p w14:paraId="13F254C6" w14:textId="77777777" w:rsidR="00C72740" w:rsidRDefault="00C72740" w:rsidP="00C72740">
      <w:pPr>
        <w:shd w:val="clear" w:color="auto" w:fill="FFFFFF"/>
        <w:spacing w:before="240" w:after="0" w:line="240" w:lineRule="auto"/>
        <w:ind w:left="720" w:right="720"/>
        <w:jc w:val="both"/>
        <w:rPr>
          <w:rFonts w:ascii="Arial" w:eastAsia="Times New Roman" w:hAnsi="Arial" w:cs="Arial"/>
          <w:i/>
          <w:iCs/>
        </w:rPr>
      </w:pPr>
    </w:p>
    <w:p w14:paraId="1A1716DE" w14:textId="77777777" w:rsidR="00C72740" w:rsidRDefault="00C72740" w:rsidP="00C72740">
      <w:pPr>
        <w:shd w:val="clear" w:color="auto" w:fill="FFFFFF"/>
        <w:spacing w:before="240"/>
        <w:ind w:right="720"/>
        <w:jc w:val="both"/>
        <w:rPr>
          <w:rFonts w:ascii="Arial" w:eastAsiaTheme="minorHAnsi" w:hAnsi="Arial" w:cs="Arial"/>
          <w:i/>
          <w:iCs/>
        </w:rPr>
      </w:pPr>
      <w:r>
        <w:rPr>
          <w:rFonts w:ascii="Arial" w:hAnsi="Arial" w:cs="Arial"/>
          <w:b/>
          <w:bCs/>
          <w:i/>
          <w:iCs/>
          <w:color w:val="000000"/>
        </w:rPr>
        <w:t>Framework &amp; Non-Framework Providers &amp; Fees</w:t>
      </w:r>
    </w:p>
    <w:p w14:paraId="02D50B55" w14:textId="7F972104" w:rsidR="00C72740" w:rsidRPr="00C72740" w:rsidRDefault="00C72740" w:rsidP="00C72740">
      <w:pPr>
        <w:numPr>
          <w:ilvl w:val="0"/>
          <w:numId w:val="8"/>
        </w:numPr>
        <w:shd w:val="clear" w:color="auto" w:fill="FFFFFF"/>
        <w:spacing w:before="240" w:after="100" w:afterAutospacing="1" w:line="240" w:lineRule="auto"/>
        <w:jc w:val="both"/>
        <w:rPr>
          <w:rFonts w:ascii="Arial" w:eastAsia="Times New Roman" w:hAnsi="Arial" w:cs="Arial"/>
          <w:i/>
          <w:iCs/>
        </w:rPr>
      </w:pPr>
      <w:r>
        <w:rPr>
          <w:rFonts w:ascii="Arial" w:eastAsia="Times New Roman" w:hAnsi="Arial" w:cs="Arial"/>
          <w:i/>
          <w:iCs/>
          <w:color w:val="000000"/>
        </w:rPr>
        <w:t xml:space="preserve">Does the ICB/LA make placements via a Framework or other pre commissioned service arrangement for Complex Care and Support packages? </w:t>
      </w:r>
    </w:p>
    <w:p w14:paraId="63DA8DAA" w14:textId="726A536E" w:rsidR="00C72740" w:rsidRPr="00C72740" w:rsidRDefault="00C72740" w:rsidP="00C72740">
      <w:pPr>
        <w:pStyle w:val="ListParagraph"/>
        <w:shd w:val="clear" w:color="auto" w:fill="FFFFFF"/>
        <w:spacing w:before="240" w:after="100" w:afterAutospacing="1"/>
        <w:jc w:val="both"/>
        <w:rPr>
          <w:rFonts w:ascii="Arial" w:hAnsi="Arial" w:cs="Arial"/>
          <w:color w:val="365F91" w:themeColor="accent1" w:themeShade="BF"/>
          <w:lang w:val="en-GB" w:eastAsia="en-GB"/>
        </w:rPr>
      </w:pPr>
      <w:r w:rsidRPr="00C72740">
        <w:rPr>
          <w:rFonts w:ascii="Arial" w:hAnsi="Arial" w:cs="Arial"/>
          <w:color w:val="365F91" w:themeColor="accent1" w:themeShade="BF"/>
        </w:rPr>
        <w:t>Yes.</w:t>
      </w:r>
    </w:p>
    <w:p w14:paraId="422076B3" w14:textId="740FA75B" w:rsidR="00C72740" w:rsidRPr="00C72740" w:rsidRDefault="00C72740" w:rsidP="00C72740">
      <w:pPr>
        <w:numPr>
          <w:ilvl w:val="0"/>
          <w:numId w:val="8"/>
        </w:numPr>
        <w:shd w:val="clear" w:color="auto" w:fill="FFFFFF"/>
        <w:spacing w:before="240" w:after="100" w:afterAutospacing="1" w:line="240" w:lineRule="auto"/>
        <w:jc w:val="both"/>
        <w:rPr>
          <w:rFonts w:ascii="Arial" w:eastAsia="Times New Roman" w:hAnsi="Arial" w:cs="Arial"/>
          <w:i/>
          <w:iCs/>
        </w:rPr>
      </w:pPr>
      <w:r>
        <w:rPr>
          <w:rFonts w:ascii="Arial" w:eastAsia="Times New Roman" w:hAnsi="Arial" w:cs="Arial"/>
          <w:i/>
          <w:iCs/>
          <w:color w:val="000000"/>
        </w:rPr>
        <w:t>If the ICB/LA has framework or pre commissioned arrangements, are these arrangements in collaboration with any other ICB’s or Local Authorities? If so, who are the other ICB’s or Local Authorities?</w:t>
      </w:r>
    </w:p>
    <w:p w14:paraId="17944CC4" w14:textId="39B8401C" w:rsidR="00C72740" w:rsidRPr="00C72740" w:rsidRDefault="00C72740" w:rsidP="00C72740">
      <w:pPr>
        <w:pStyle w:val="ListParagraph"/>
        <w:shd w:val="clear" w:color="auto" w:fill="FFFFFF"/>
        <w:spacing w:before="240" w:after="100" w:afterAutospacing="1"/>
        <w:jc w:val="both"/>
        <w:rPr>
          <w:rFonts w:ascii="Arial" w:hAnsi="Arial" w:cs="Arial"/>
          <w:color w:val="365F91" w:themeColor="accent1" w:themeShade="BF"/>
          <w:lang w:val="en-GB" w:eastAsia="en-GB"/>
        </w:rPr>
      </w:pPr>
      <w:r w:rsidRPr="00C72740">
        <w:rPr>
          <w:rFonts w:ascii="Arial" w:hAnsi="Arial" w:cs="Arial"/>
          <w:color w:val="365F91" w:themeColor="accent1" w:themeShade="BF"/>
        </w:rPr>
        <w:lastRenderedPageBreak/>
        <w:t>For both children and adults home care, the framework arrangement is just with Nottingham and Nottinghamshire ICB.  For care homes, the framework contract is between Nottingham and Nottinghamshire ICB and Nottingham City Council.</w:t>
      </w:r>
    </w:p>
    <w:p w14:paraId="72767B0E" w14:textId="77777777" w:rsidR="00C72740" w:rsidRDefault="00C72740" w:rsidP="00C72740">
      <w:pPr>
        <w:numPr>
          <w:ilvl w:val="0"/>
          <w:numId w:val="8"/>
        </w:numPr>
        <w:shd w:val="clear" w:color="auto" w:fill="FFFFFF"/>
        <w:spacing w:before="240" w:after="100" w:afterAutospacing="1" w:line="240" w:lineRule="auto"/>
        <w:jc w:val="both"/>
        <w:rPr>
          <w:rFonts w:ascii="Arial" w:eastAsia="Times New Roman" w:hAnsi="Arial" w:cs="Arial"/>
          <w:i/>
          <w:iCs/>
        </w:rPr>
      </w:pPr>
      <w:r>
        <w:rPr>
          <w:rFonts w:ascii="Arial" w:eastAsia="Times New Roman" w:hAnsi="Arial" w:cs="Arial"/>
          <w:i/>
          <w:iCs/>
          <w:color w:val="000000"/>
        </w:rPr>
        <w:t xml:space="preserve">In relation to any Frameworks you currently operate for individuals (children and adults) currently receiving complex and or high level care and support operated by an Independent (private or voluntary) provider within your ICB/LA boundary, please provide the following information (including Provider name) about the number of individuals they support within your ICB/LA boundary, the average weekly hours commissioned, the average hourly rate paid for this provision, per type specified and whether the fees include any discounts agreed with said Provider. Please also advise the </w:t>
      </w:r>
      <w:r>
        <w:rPr>
          <w:rFonts w:ascii="Arial" w:eastAsia="Times New Roman" w:hAnsi="Arial" w:cs="Arial"/>
          <w:b/>
          <w:bCs/>
          <w:i/>
          <w:iCs/>
          <w:color w:val="000000"/>
        </w:rPr>
        <w:t xml:space="preserve">totals </w:t>
      </w:r>
      <w:r>
        <w:rPr>
          <w:rFonts w:ascii="Arial" w:eastAsia="Times New Roman" w:hAnsi="Arial" w:cs="Arial"/>
          <w:i/>
          <w:iCs/>
          <w:color w:val="000000"/>
        </w:rPr>
        <w:t xml:space="preserve">for all packages in each type specified i.e. total average hourly rate, total average hours provided per week &amp; total no of individuals supported by each provider. </w:t>
      </w:r>
    </w:p>
    <w:p w14:paraId="465BCA9C" w14:textId="77777777" w:rsidR="00C72740" w:rsidRDefault="00C72740" w:rsidP="00C72740">
      <w:pPr>
        <w:pStyle w:val="NormalWeb"/>
        <w:shd w:val="clear" w:color="auto" w:fill="FFFFFF"/>
        <w:ind w:left="720"/>
        <w:jc w:val="both"/>
        <w:rPr>
          <w:rFonts w:ascii="Arial" w:hAnsi="Arial" w:cs="Arial"/>
          <w:i/>
          <w:iCs/>
        </w:rPr>
      </w:pPr>
      <w:r>
        <w:rPr>
          <w:rFonts w:ascii="Arial" w:hAnsi="Arial" w:cs="Arial"/>
          <w:i/>
          <w:iCs/>
          <w:color w:val="000000"/>
        </w:rPr>
        <w:t>Please use the example format below and return in an excel spreadsheet if possible:</w:t>
      </w:r>
    </w:p>
    <w:tbl>
      <w:tblPr>
        <w:tblpPr w:leftFromText="180" w:rightFromText="180" w:vertAnchor="text" w:tblpX="817"/>
        <w:tblW w:w="9733" w:type="dxa"/>
        <w:tblCellMar>
          <w:left w:w="0" w:type="dxa"/>
          <w:right w:w="0" w:type="dxa"/>
        </w:tblCellMar>
        <w:tblLook w:val="04A0" w:firstRow="1" w:lastRow="0" w:firstColumn="1" w:lastColumn="0" w:noHBand="0" w:noVBand="1"/>
      </w:tblPr>
      <w:tblGrid>
        <w:gridCol w:w="1500"/>
        <w:gridCol w:w="1048"/>
        <w:gridCol w:w="1073"/>
        <w:gridCol w:w="1048"/>
        <w:gridCol w:w="1284"/>
        <w:gridCol w:w="1261"/>
        <w:gridCol w:w="1284"/>
        <w:gridCol w:w="1235"/>
      </w:tblGrid>
      <w:tr w:rsidR="00C72740" w14:paraId="12860355" w14:textId="77777777" w:rsidTr="00E9413D">
        <w:trPr>
          <w:trHeight w:val="709"/>
        </w:trPr>
        <w:tc>
          <w:tcPr>
            <w:tcW w:w="973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78ACB2" w14:textId="77777777" w:rsidR="00C72740" w:rsidRDefault="00C72740" w:rsidP="00E9413D">
            <w:pPr>
              <w:pStyle w:val="NormalWeb"/>
              <w:rPr>
                <w:rFonts w:ascii="Arial" w:hAnsi="Arial" w:cs="Arial"/>
                <w:b/>
                <w:bCs/>
                <w:i/>
                <w:iCs/>
                <w:sz w:val="20"/>
                <w:szCs w:val="20"/>
              </w:rPr>
            </w:pPr>
            <w:r>
              <w:rPr>
                <w:rFonts w:ascii="Arial" w:hAnsi="Arial" w:cs="Arial"/>
                <w:b/>
                <w:bCs/>
                <w:i/>
                <w:iCs/>
                <w:sz w:val="20"/>
                <w:szCs w:val="20"/>
              </w:rPr>
              <w:t>Framework</w:t>
            </w:r>
          </w:p>
        </w:tc>
      </w:tr>
      <w:tr w:rsidR="00C72740" w14:paraId="41739BB1" w14:textId="77777777" w:rsidTr="00E9413D">
        <w:trPr>
          <w:trHeight w:val="709"/>
        </w:trPr>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A7F1D" w14:textId="77777777" w:rsidR="00C72740" w:rsidRDefault="00C72740" w:rsidP="00E9413D">
            <w:pPr>
              <w:rPr>
                <w:rFonts w:ascii="Arial" w:hAnsi="Arial" w:cs="Arial"/>
                <w:b/>
                <w:bCs/>
                <w:i/>
                <w:iCs/>
              </w:rPr>
            </w:pPr>
            <w:r>
              <w:rPr>
                <w:rFonts w:ascii="Arial" w:hAnsi="Arial" w:cs="Arial"/>
                <w:b/>
                <w:bCs/>
                <w:i/>
                <w:iCs/>
              </w:rPr>
              <w:t>Name of Provider</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14:paraId="712B4DF4" w14:textId="77777777" w:rsidR="00C72740" w:rsidRDefault="00C72740" w:rsidP="00E9413D">
            <w:pPr>
              <w:pStyle w:val="NormalWeb"/>
              <w:rPr>
                <w:rFonts w:ascii="Arial" w:hAnsi="Arial" w:cs="Arial"/>
                <w:i/>
                <w:iCs/>
                <w:sz w:val="20"/>
                <w:szCs w:val="20"/>
              </w:rPr>
            </w:pPr>
            <w:r>
              <w:rPr>
                <w:rFonts w:ascii="Arial" w:hAnsi="Arial" w:cs="Arial"/>
                <w:b/>
                <w:bCs/>
                <w:i/>
                <w:iCs/>
                <w:sz w:val="20"/>
                <w:szCs w:val="20"/>
              </w:rPr>
              <w:t xml:space="preserve">Average hourly rate </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14:paraId="255A825A" w14:textId="77777777" w:rsidR="00C72740" w:rsidRDefault="00C72740" w:rsidP="00E9413D">
            <w:pPr>
              <w:pStyle w:val="NormalWeb"/>
              <w:rPr>
                <w:rFonts w:ascii="Arial" w:hAnsi="Arial" w:cs="Arial"/>
                <w:i/>
                <w:iCs/>
                <w:sz w:val="20"/>
                <w:szCs w:val="20"/>
              </w:rPr>
            </w:pPr>
            <w:r>
              <w:rPr>
                <w:rFonts w:ascii="Arial" w:hAnsi="Arial" w:cs="Arial"/>
                <w:b/>
                <w:bCs/>
                <w:i/>
                <w:iCs/>
                <w:sz w:val="20"/>
                <w:szCs w:val="20"/>
              </w:rPr>
              <w:t xml:space="preserve">Average weekly hours provided per week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14:paraId="1C478227" w14:textId="77777777" w:rsidR="00C72740" w:rsidRDefault="00C72740" w:rsidP="00E9413D">
            <w:pPr>
              <w:pStyle w:val="NormalWeb"/>
              <w:rPr>
                <w:rFonts w:ascii="Arial" w:hAnsi="Arial" w:cs="Arial"/>
                <w:i/>
                <w:iCs/>
                <w:sz w:val="20"/>
                <w:szCs w:val="20"/>
              </w:rPr>
            </w:pPr>
            <w:r>
              <w:rPr>
                <w:rFonts w:ascii="Arial" w:hAnsi="Arial" w:cs="Arial"/>
                <w:b/>
                <w:bCs/>
                <w:i/>
                <w:iCs/>
                <w:sz w:val="20"/>
                <w:szCs w:val="20"/>
              </w:rPr>
              <w:t xml:space="preserve">Average weekly total fee </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7E58C245" w14:textId="77777777" w:rsidR="00C72740" w:rsidRDefault="00C72740" w:rsidP="00E9413D">
            <w:pPr>
              <w:pStyle w:val="NormalWeb"/>
              <w:rPr>
                <w:rFonts w:ascii="Arial" w:hAnsi="Arial" w:cs="Arial"/>
                <w:i/>
                <w:iCs/>
                <w:sz w:val="20"/>
                <w:szCs w:val="20"/>
              </w:rPr>
            </w:pPr>
            <w:r>
              <w:rPr>
                <w:rFonts w:ascii="Arial" w:hAnsi="Arial" w:cs="Arial"/>
                <w:b/>
                <w:bCs/>
                <w:i/>
                <w:iCs/>
                <w:sz w:val="20"/>
                <w:szCs w:val="20"/>
              </w:rPr>
              <w:t>No of individuals the provider supports</w:t>
            </w: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14:paraId="2E21C26F" w14:textId="77777777" w:rsidR="00C72740" w:rsidRDefault="00C72740" w:rsidP="00E9413D">
            <w:pPr>
              <w:pStyle w:val="NormalWeb"/>
              <w:rPr>
                <w:rFonts w:ascii="Arial" w:hAnsi="Arial" w:cs="Arial"/>
                <w:i/>
                <w:iCs/>
                <w:sz w:val="20"/>
                <w:szCs w:val="20"/>
              </w:rPr>
            </w:pPr>
            <w:r>
              <w:rPr>
                <w:rFonts w:ascii="Arial" w:hAnsi="Arial" w:cs="Arial"/>
                <w:b/>
                <w:bCs/>
                <w:i/>
                <w:iCs/>
                <w:sz w:val="20"/>
                <w:szCs w:val="20"/>
              </w:rPr>
              <w:t>No of individuals with spinal injury care and support needs</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602CEF6B" w14:textId="77777777" w:rsidR="00C72740" w:rsidRDefault="00C72740" w:rsidP="00E9413D">
            <w:pPr>
              <w:pStyle w:val="NormalWeb"/>
              <w:rPr>
                <w:rFonts w:ascii="Arial" w:hAnsi="Arial" w:cs="Arial"/>
                <w:i/>
                <w:iCs/>
                <w:sz w:val="20"/>
                <w:szCs w:val="20"/>
              </w:rPr>
            </w:pPr>
            <w:r>
              <w:rPr>
                <w:rFonts w:ascii="Arial" w:hAnsi="Arial" w:cs="Arial"/>
                <w:b/>
                <w:bCs/>
                <w:i/>
                <w:iCs/>
                <w:sz w:val="20"/>
                <w:szCs w:val="20"/>
              </w:rPr>
              <w:t>No of individuals with complex care and support needs</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36E9C692" w14:textId="77777777" w:rsidR="00C72740" w:rsidRDefault="00C72740" w:rsidP="00E9413D">
            <w:pPr>
              <w:pStyle w:val="NormalWeb"/>
              <w:rPr>
                <w:rFonts w:ascii="Arial" w:hAnsi="Arial" w:cs="Arial"/>
                <w:i/>
                <w:iCs/>
                <w:sz w:val="20"/>
                <w:szCs w:val="20"/>
              </w:rPr>
            </w:pPr>
            <w:r>
              <w:rPr>
                <w:rFonts w:ascii="Arial" w:hAnsi="Arial" w:cs="Arial"/>
                <w:b/>
                <w:bCs/>
                <w:i/>
                <w:iCs/>
                <w:sz w:val="20"/>
                <w:szCs w:val="20"/>
              </w:rPr>
              <w:t>Discounts Agreed (type &amp; %)</w:t>
            </w:r>
          </w:p>
        </w:tc>
      </w:tr>
      <w:tr w:rsidR="00C72740" w14:paraId="32CF861C" w14:textId="77777777" w:rsidTr="00E9413D">
        <w:trPr>
          <w:trHeight w:val="349"/>
        </w:trPr>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8A82D" w14:textId="77777777" w:rsidR="00C72740" w:rsidRDefault="00C72740" w:rsidP="00E9413D">
            <w:pPr>
              <w:rPr>
                <w:rFonts w:ascii="Arial" w:hAnsi="Arial" w:cs="Arial"/>
                <w:b/>
                <w:bCs/>
                <w:i/>
                <w:iCs/>
              </w:rPr>
            </w:pPr>
            <w:r>
              <w:rPr>
                <w:rFonts w:ascii="Arial" w:hAnsi="Arial" w:cs="Arial"/>
                <w:b/>
                <w:bCs/>
                <w:i/>
                <w:iCs/>
              </w:rPr>
              <w:t>Provider 1 name (example)</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14:paraId="31C875C7" w14:textId="77777777" w:rsidR="00C72740" w:rsidRDefault="00C72740" w:rsidP="00E9413D">
            <w:pPr>
              <w:pStyle w:val="NormalWeb"/>
              <w:rPr>
                <w:rFonts w:ascii="Arial" w:hAnsi="Arial" w:cs="Arial"/>
                <w:i/>
                <w:iCs/>
                <w:sz w:val="20"/>
                <w:szCs w:val="20"/>
              </w:rPr>
            </w:pPr>
            <w:r>
              <w:rPr>
                <w:rFonts w:ascii="Arial" w:hAnsi="Arial" w:cs="Arial"/>
                <w:i/>
                <w:iCs/>
                <w:sz w:val="20"/>
                <w:szCs w:val="20"/>
              </w:rPr>
              <w:t>£</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14:paraId="725B2C4E" w14:textId="77777777" w:rsidR="00C72740" w:rsidRDefault="00C72740" w:rsidP="00E9413D">
            <w:pPr>
              <w:rPr>
                <w:rFonts w:ascii="Arial" w:hAnsi="Arial" w:cs="Arial"/>
                <w:i/>
                <w:iCs/>
                <w:sz w:val="20"/>
                <w:szCs w:val="20"/>
              </w:rPr>
            </w:pP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14:paraId="2EBFA473" w14:textId="77777777" w:rsidR="00C72740" w:rsidRDefault="00C72740" w:rsidP="00E9413D">
            <w:pPr>
              <w:pStyle w:val="NormalWeb"/>
              <w:rPr>
                <w:rFonts w:ascii="Arial" w:hAnsi="Arial" w:cs="Arial"/>
                <w:i/>
                <w:iCs/>
                <w:sz w:val="20"/>
                <w:szCs w:val="20"/>
              </w:rPr>
            </w:pPr>
            <w:r>
              <w:rPr>
                <w:rFonts w:ascii="Arial" w:hAnsi="Arial" w:cs="Arial"/>
                <w:i/>
                <w:iCs/>
                <w:sz w:val="20"/>
                <w:szCs w:val="20"/>
              </w:rPr>
              <w:t>£</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091489DA" w14:textId="77777777" w:rsidR="00C72740" w:rsidRDefault="00C72740" w:rsidP="00E9413D">
            <w:pPr>
              <w:rPr>
                <w:rFonts w:ascii="Arial" w:hAnsi="Arial" w:cs="Arial"/>
                <w:i/>
                <w:iCs/>
                <w:sz w:val="20"/>
                <w:szCs w:val="20"/>
              </w:rPr>
            </w:pP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14:paraId="73F91AE7" w14:textId="77777777" w:rsidR="00C72740" w:rsidRDefault="00C72740" w:rsidP="00E9413D">
            <w:pPr>
              <w:rPr>
                <w:rFonts w:ascii="Times New Roman" w:eastAsia="Times New Roman" w:hAnsi="Times New Roman"/>
                <w:sz w:val="20"/>
                <w:szCs w:val="20"/>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3689FE4A" w14:textId="77777777" w:rsidR="00C72740" w:rsidRDefault="00C72740" w:rsidP="00E9413D">
            <w:pPr>
              <w:rPr>
                <w:rFonts w:ascii="Times New Roman" w:eastAsia="Times New Roman" w:hAnsi="Times New Roman"/>
                <w:sz w:val="20"/>
                <w:szCs w:val="20"/>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66ED25C9" w14:textId="77777777" w:rsidR="00C72740" w:rsidRDefault="00C72740" w:rsidP="00E9413D">
            <w:pPr>
              <w:pStyle w:val="NormalWeb"/>
              <w:rPr>
                <w:rFonts w:ascii="Arial" w:hAnsi="Arial" w:cs="Arial"/>
                <w:i/>
                <w:iCs/>
                <w:sz w:val="20"/>
                <w:szCs w:val="20"/>
              </w:rPr>
            </w:pPr>
            <w:r>
              <w:rPr>
                <w:rFonts w:ascii="Arial" w:hAnsi="Arial" w:cs="Arial"/>
                <w:i/>
                <w:iCs/>
                <w:sz w:val="20"/>
                <w:szCs w:val="20"/>
              </w:rPr>
              <w:t>e.g long term, volume</w:t>
            </w:r>
          </w:p>
        </w:tc>
      </w:tr>
      <w:tr w:rsidR="00C72740" w14:paraId="6063C453" w14:textId="77777777" w:rsidTr="00E9413D">
        <w:trPr>
          <w:trHeight w:val="349"/>
        </w:trPr>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89DD6" w14:textId="77777777" w:rsidR="00C72740" w:rsidRDefault="00C72740" w:rsidP="00E9413D">
            <w:pPr>
              <w:rPr>
                <w:rFonts w:ascii="Arial" w:hAnsi="Arial" w:cs="Arial"/>
                <w:b/>
                <w:bCs/>
                <w:i/>
                <w:iCs/>
              </w:rPr>
            </w:pPr>
            <w:r>
              <w:rPr>
                <w:rFonts w:ascii="Arial" w:hAnsi="Arial" w:cs="Arial"/>
                <w:b/>
                <w:bCs/>
                <w:i/>
                <w:iCs/>
              </w:rPr>
              <w:t>Provider 2 name (example)</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14:paraId="08AC0764" w14:textId="77777777" w:rsidR="00C72740" w:rsidRDefault="00C72740" w:rsidP="00E9413D">
            <w:pPr>
              <w:pStyle w:val="NormalWeb"/>
              <w:rPr>
                <w:rFonts w:ascii="Arial" w:hAnsi="Arial" w:cs="Arial"/>
                <w:i/>
                <w:iCs/>
                <w:sz w:val="20"/>
                <w:szCs w:val="20"/>
              </w:rPr>
            </w:pPr>
            <w:r>
              <w:rPr>
                <w:rFonts w:ascii="Arial" w:hAnsi="Arial" w:cs="Arial"/>
                <w:i/>
                <w:iCs/>
                <w:sz w:val="20"/>
                <w:szCs w:val="20"/>
              </w:rPr>
              <w:t>£</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14:paraId="4AA44957" w14:textId="77777777" w:rsidR="00C72740" w:rsidRDefault="00C72740" w:rsidP="00E9413D">
            <w:pPr>
              <w:rPr>
                <w:rFonts w:ascii="Arial" w:hAnsi="Arial" w:cs="Arial"/>
                <w:i/>
                <w:iCs/>
                <w:sz w:val="20"/>
                <w:szCs w:val="20"/>
              </w:rPr>
            </w:pP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14:paraId="1B9E696C" w14:textId="77777777" w:rsidR="00C72740" w:rsidRDefault="00C72740" w:rsidP="00E9413D">
            <w:pPr>
              <w:pStyle w:val="NormalWeb"/>
              <w:rPr>
                <w:rFonts w:ascii="Arial" w:hAnsi="Arial" w:cs="Arial"/>
                <w:i/>
                <w:iCs/>
                <w:sz w:val="20"/>
                <w:szCs w:val="20"/>
              </w:rPr>
            </w:pPr>
            <w:r>
              <w:rPr>
                <w:rFonts w:ascii="Arial" w:hAnsi="Arial" w:cs="Arial"/>
                <w:i/>
                <w:iCs/>
                <w:sz w:val="20"/>
                <w:szCs w:val="20"/>
              </w:rPr>
              <w:t>£</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273F0D68" w14:textId="77777777" w:rsidR="00C72740" w:rsidRDefault="00C72740" w:rsidP="00E9413D">
            <w:pPr>
              <w:rPr>
                <w:rFonts w:ascii="Arial" w:hAnsi="Arial" w:cs="Arial"/>
                <w:i/>
                <w:iCs/>
                <w:sz w:val="20"/>
                <w:szCs w:val="20"/>
              </w:rPr>
            </w:pP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14:paraId="38F218F6" w14:textId="77777777" w:rsidR="00C72740" w:rsidRDefault="00C72740" w:rsidP="00E9413D">
            <w:pPr>
              <w:rPr>
                <w:rFonts w:ascii="Times New Roman" w:eastAsia="Times New Roman" w:hAnsi="Times New Roman"/>
                <w:sz w:val="20"/>
                <w:szCs w:val="20"/>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3AB46877" w14:textId="77777777" w:rsidR="00C72740" w:rsidRDefault="00C72740" w:rsidP="00E9413D">
            <w:pPr>
              <w:rPr>
                <w:rFonts w:ascii="Times New Roman" w:eastAsia="Times New Roman" w:hAnsi="Times New Roman"/>
                <w:sz w:val="20"/>
                <w:szCs w:val="20"/>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36186191" w14:textId="77777777" w:rsidR="00C72740" w:rsidRDefault="00C72740" w:rsidP="00E9413D">
            <w:pPr>
              <w:rPr>
                <w:rFonts w:ascii="Times New Roman" w:eastAsia="Times New Roman" w:hAnsi="Times New Roman"/>
                <w:sz w:val="20"/>
                <w:szCs w:val="20"/>
              </w:rPr>
            </w:pPr>
          </w:p>
        </w:tc>
      </w:tr>
      <w:tr w:rsidR="00C72740" w14:paraId="3B730265" w14:textId="77777777" w:rsidTr="00E9413D">
        <w:trPr>
          <w:trHeight w:val="349"/>
        </w:trPr>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F9D62" w14:textId="77777777" w:rsidR="00C72740" w:rsidRDefault="00C72740" w:rsidP="00E9413D">
            <w:pPr>
              <w:rPr>
                <w:rFonts w:ascii="Arial" w:eastAsiaTheme="minorHAnsi" w:hAnsi="Arial" w:cs="Arial"/>
                <w:b/>
                <w:bCs/>
                <w:i/>
                <w:iCs/>
              </w:rPr>
            </w:pPr>
            <w:r>
              <w:rPr>
                <w:rFonts w:ascii="Arial" w:hAnsi="Arial" w:cs="Arial"/>
                <w:b/>
                <w:bCs/>
                <w:i/>
                <w:iCs/>
              </w:rPr>
              <w:t>Total (of all placements)</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14:paraId="4AF5B4C2" w14:textId="77777777" w:rsidR="00C72740" w:rsidRDefault="00C72740" w:rsidP="00E9413D">
            <w:pPr>
              <w:pStyle w:val="NormalWeb"/>
              <w:rPr>
                <w:rFonts w:ascii="Arial" w:hAnsi="Arial" w:cs="Arial"/>
                <w:i/>
                <w:iCs/>
                <w:sz w:val="20"/>
                <w:szCs w:val="20"/>
              </w:rPr>
            </w:pPr>
            <w:r>
              <w:rPr>
                <w:rFonts w:ascii="Arial" w:hAnsi="Arial" w:cs="Arial"/>
                <w:i/>
                <w:iCs/>
                <w:sz w:val="20"/>
                <w:szCs w:val="20"/>
              </w:rPr>
              <w:t>£</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14:paraId="4F244F91" w14:textId="77777777" w:rsidR="00C72740" w:rsidRDefault="00C72740" w:rsidP="00E9413D">
            <w:pPr>
              <w:rPr>
                <w:rFonts w:ascii="Arial" w:hAnsi="Arial" w:cs="Arial"/>
                <w:i/>
                <w:iCs/>
                <w:sz w:val="20"/>
                <w:szCs w:val="20"/>
              </w:rPr>
            </w:pP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14:paraId="3F0D4664" w14:textId="77777777" w:rsidR="00C72740" w:rsidRDefault="00C72740" w:rsidP="00E9413D">
            <w:pPr>
              <w:pStyle w:val="NormalWeb"/>
              <w:rPr>
                <w:rFonts w:ascii="Arial" w:hAnsi="Arial" w:cs="Arial"/>
                <w:i/>
                <w:iCs/>
                <w:sz w:val="20"/>
                <w:szCs w:val="20"/>
              </w:rPr>
            </w:pPr>
            <w:r>
              <w:rPr>
                <w:rFonts w:ascii="Arial" w:hAnsi="Arial" w:cs="Arial"/>
                <w:i/>
                <w:iCs/>
                <w:sz w:val="20"/>
                <w:szCs w:val="20"/>
              </w:rPr>
              <w:t>£</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7B524690" w14:textId="77777777" w:rsidR="00C72740" w:rsidRDefault="00C72740" w:rsidP="00E9413D">
            <w:pPr>
              <w:rPr>
                <w:rFonts w:ascii="Arial" w:hAnsi="Arial" w:cs="Arial"/>
                <w:i/>
                <w:iCs/>
                <w:sz w:val="20"/>
                <w:szCs w:val="20"/>
              </w:rPr>
            </w:pP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14:paraId="1E69F328" w14:textId="77777777" w:rsidR="00C72740" w:rsidRDefault="00C72740" w:rsidP="00E9413D">
            <w:pPr>
              <w:rPr>
                <w:rFonts w:ascii="Times New Roman" w:eastAsia="Times New Roman" w:hAnsi="Times New Roman"/>
                <w:sz w:val="20"/>
                <w:szCs w:val="20"/>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61A20E49" w14:textId="77777777" w:rsidR="00C72740" w:rsidRDefault="00C72740" w:rsidP="00E9413D">
            <w:pPr>
              <w:rPr>
                <w:rFonts w:ascii="Times New Roman" w:eastAsia="Times New Roman" w:hAnsi="Times New Roman"/>
                <w:sz w:val="20"/>
                <w:szCs w:val="20"/>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210AEEAC" w14:textId="77777777" w:rsidR="00C72740" w:rsidRDefault="00C72740" w:rsidP="00E9413D">
            <w:pPr>
              <w:rPr>
                <w:rFonts w:ascii="Times New Roman" w:eastAsia="Times New Roman" w:hAnsi="Times New Roman"/>
                <w:sz w:val="20"/>
                <w:szCs w:val="20"/>
              </w:rPr>
            </w:pPr>
          </w:p>
        </w:tc>
      </w:tr>
    </w:tbl>
    <w:p w14:paraId="462FA23A" w14:textId="77777777" w:rsidR="00C72740" w:rsidRDefault="00C72740" w:rsidP="00C72740">
      <w:pPr>
        <w:pStyle w:val="NormalWeb"/>
        <w:shd w:val="clear" w:color="auto" w:fill="FFFFFF"/>
        <w:jc w:val="both"/>
        <w:rPr>
          <w:rFonts w:ascii="Arial" w:hAnsi="Arial" w:cs="Arial"/>
          <w:i/>
          <w:iCs/>
          <w:sz w:val="22"/>
          <w:szCs w:val="22"/>
        </w:rPr>
      </w:pPr>
    </w:p>
    <w:p w14:paraId="2C6F5420" w14:textId="77777777" w:rsidR="00C72740" w:rsidRDefault="00C72740" w:rsidP="00C72740">
      <w:pPr>
        <w:pStyle w:val="NormalWeb"/>
        <w:shd w:val="clear" w:color="auto" w:fill="FFFFFF"/>
        <w:ind w:right="720"/>
        <w:jc w:val="both"/>
        <w:rPr>
          <w:rFonts w:ascii="Calibri" w:hAnsi="Calibri" w:cs="Calibri"/>
          <w:i/>
          <w:iCs/>
        </w:rPr>
      </w:pPr>
    </w:p>
    <w:p w14:paraId="45FB2D49" w14:textId="77777777" w:rsidR="00C72740" w:rsidRDefault="00C72740" w:rsidP="00C72740">
      <w:pPr>
        <w:pStyle w:val="NormalWeb"/>
        <w:shd w:val="clear" w:color="auto" w:fill="FFFFFF"/>
        <w:ind w:right="720"/>
        <w:jc w:val="both"/>
        <w:rPr>
          <w:i/>
          <w:iCs/>
        </w:rPr>
      </w:pPr>
    </w:p>
    <w:p w14:paraId="5005254E" w14:textId="77777777" w:rsidR="00C72740" w:rsidRDefault="00C72740" w:rsidP="00C72740">
      <w:pPr>
        <w:pStyle w:val="NormalWeb"/>
        <w:shd w:val="clear" w:color="auto" w:fill="FFFFFF"/>
        <w:ind w:right="720"/>
        <w:jc w:val="both"/>
        <w:rPr>
          <w:i/>
          <w:iCs/>
        </w:rPr>
      </w:pPr>
    </w:p>
    <w:p w14:paraId="70750EBB" w14:textId="77777777" w:rsidR="00C72740" w:rsidRDefault="00C72740" w:rsidP="00C72740">
      <w:pPr>
        <w:pStyle w:val="NormalWeb"/>
        <w:shd w:val="clear" w:color="auto" w:fill="FFFFFF"/>
        <w:ind w:right="720"/>
        <w:jc w:val="both"/>
        <w:rPr>
          <w:i/>
          <w:iCs/>
        </w:rPr>
      </w:pPr>
    </w:p>
    <w:p w14:paraId="55C2FD44" w14:textId="77777777" w:rsidR="00C72740" w:rsidRDefault="00C72740" w:rsidP="00C72740">
      <w:pPr>
        <w:pStyle w:val="NormalWeb"/>
        <w:shd w:val="clear" w:color="auto" w:fill="FFFFFF"/>
        <w:ind w:right="720"/>
        <w:jc w:val="both"/>
        <w:rPr>
          <w:i/>
          <w:iCs/>
        </w:rPr>
      </w:pPr>
    </w:p>
    <w:p w14:paraId="347AF1BF" w14:textId="77777777" w:rsidR="00C72740" w:rsidRDefault="00C72740" w:rsidP="00C72740">
      <w:pPr>
        <w:pStyle w:val="NormalWeb"/>
        <w:shd w:val="clear" w:color="auto" w:fill="FFFFFF"/>
        <w:ind w:right="720"/>
        <w:jc w:val="both"/>
        <w:rPr>
          <w:i/>
          <w:iCs/>
        </w:rPr>
      </w:pPr>
    </w:p>
    <w:p w14:paraId="654676A2" w14:textId="0F794770" w:rsidR="00C72740" w:rsidRDefault="00C72740" w:rsidP="00C72740">
      <w:pPr>
        <w:pStyle w:val="NormalWeb"/>
        <w:shd w:val="clear" w:color="auto" w:fill="FFFFFF"/>
        <w:jc w:val="both"/>
        <w:rPr>
          <w:rFonts w:ascii="Arial" w:hAnsi="Arial" w:cs="Arial"/>
          <w:i/>
          <w:iCs/>
        </w:rPr>
      </w:pPr>
    </w:p>
    <w:p w14:paraId="3AB6582C" w14:textId="00616A94" w:rsidR="00C72740" w:rsidRDefault="00C72740" w:rsidP="00C72740">
      <w:pPr>
        <w:pStyle w:val="NormalWeb"/>
        <w:shd w:val="clear" w:color="auto" w:fill="FFFFFF"/>
        <w:jc w:val="both"/>
        <w:rPr>
          <w:rFonts w:ascii="Arial" w:hAnsi="Arial" w:cs="Arial"/>
          <w:i/>
          <w:iCs/>
        </w:rPr>
      </w:pPr>
    </w:p>
    <w:p w14:paraId="34425408" w14:textId="6F9E8D73" w:rsidR="00C72740" w:rsidRDefault="00C72740" w:rsidP="00C72740">
      <w:pPr>
        <w:pStyle w:val="NormalWeb"/>
        <w:shd w:val="clear" w:color="auto" w:fill="FFFFFF"/>
        <w:jc w:val="both"/>
        <w:rPr>
          <w:rFonts w:ascii="Arial" w:hAnsi="Arial" w:cs="Arial"/>
          <w:i/>
          <w:iCs/>
        </w:rPr>
      </w:pPr>
    </w:p>
    <w:p w14:paraId="30A55523" w14:textId="35E8CF47" w:rsidR="00C72740" w:rsidRDefault="00C72740" w:rsidP="00E9413D">
      <w:pPr>
        <w:pStyle w:val="NormalWeb"/>
        <w:shd w:val="clear" w:color="auto" w:fill="FFFFFF"/>
        <w:ind w:left="709"/>
        <w:jc w:val="both"/>
        <w:rPr>
          <w:rFonts w:ascii="Arial" w:hAnsi="Arial" w:cs="Arial"/>
          <w:color w:val="365F91" w:themeColor="accent1" w:themeShade="BF"/>
          <w:sz w:val="22"/>
          <w:szCs w:val="22"/>
        </w:rPr>
      </w:pPr>
      <w:r w:rsidRPr="0055204E">
        <w:rPr>
          <w:rFonts w:ascii="Arial" w:hAnsi="Arial" w:cs="Arial"/>
          <w:color w:val="365F91" w:themeColor="accent1" w:themeShade="BF"/>
          <w:sz w:val="22"/>
          <w:szCs w:val="22"/>
        </w:rPr>
        <w:t>NHS Nottingham and Nottinghamshire ICB does not collect information in the format requested above.  However, we are able to provide you with information as found at appendix A.</w:t>
      </w:r>
    </w:p>
    <w:p w14:paraId="25BFE8ED" w14:textId="77777777" w:rsidR="00B22FD2" w:rsidRPr="0055204E" w:rsidRDefault="00B22FD2" w:rsidP="00E9413D">
      <w:pPr>
        <w:pStyle w:val="NormalWeb"/>
        <w:shd w:val="clear" w:color="auto" w:fill="FFFFFF"/>
        <w:ind w:left="709"/>
        <w:jc w:val="both"/>
        <w:rPr>
          <w:rFonts w:ascii="Calibri" w:hAnsi="Calibri" w:cs="Calibri"/>
          <w:i/>
          <w:iCs/>
          <w:color w:val="365F91" w:themeColor="accent1" w:themeShade="BF"/>
          <w:sz w:val="22"/>
          <w:szCs w:val="22"/>
        </w:rPr>
      </w:pPr>
    </w:p>
    <w:p w14:paraId="5B421086" w14:textId="182CB5A3" w:rsidR="00C72740" w:rsidRPr="00E9413D" w:rsidRDefault="00C72740" w:rsidP="00C72740">
      <w:pPr>
        <w:numPr>
          <w:ilvl w:val="0"/>
          <w:numId w:val="9"/>
        </w:numPr>
        <w:shd w:val="clear" w:color="auto" w:fill="FFFFFF"/>
        <w:spacing w:before="100" w:beforeAutospacing="1" w:after="0" w:line="240" w:lineRule="auto"/>
        <w:jc w:val="both"/>
        <w:rPr>
          <w:rFonts w:ascii="Arial" w:eastAsia="Times New Roman" w:hAnsi="Arial" w:cs="Arial"/>
          <w:i/>
          <w:iCs/>
        </w:rPr>
      </w:pPr>
      <w:r>
        <w:rPr>
          <w:rFonts w:ascii="Arial" w:eastAsia="Times New Roman" w:hAnsi="Arial" w:cs="Arial"/>
          <w:i/>
          <w:iCs/>
          <w:color w:val="000000"/>
        </w:rPr>
        <w:t xml:space="preserve">As per question 3 above, please provide the same information; however, this time in relation to Non-Framework Providers i.e., where the ICB/LA has commissioned packages with independent care and support Providers using a Spot Purchase mechanism because the Provider is not on a Framework with the ICB/LA. Please also advise the </w:t>
      </w:r>
      <w:r>
        <w:rPr>
          <w:rFonts w:ascii="Arial" w:eastAsia="Times New Roman" w:hAnsi="Arial" w:cs="Arial"/>
          <w:b/>
          <w:bCs/>
          <w:i/>
          <w:iCs/>
          <w:color w:val="000000"/>
        </w:rPr>
        <w:t xml:space="preserve">totals </w:t>
      </w:r>
      <w:r>
        <w:rPr>
          <w:rFonts w:ascii="Arial" w:eastAsia="Times New Roman" w:hAnsi="Arial" w:cs="Arial"/>
          <w:i/>
          <w:iCs/>
          <w:color w:val="000000"/>
        </w:rPr>
        <w:t xml:space="preserve">for all packages in each type specified i.e. total average hourly fee &amp; total no of individuals supported by Provider. </w:t>
      </w:r>
    </w:p>
    <w:p w14:paraId="2A4D232B" w14:textId="4E579F31" w:rsidR="00E9413D" w:rsidRPr="00B22FD2" w:rsidRDefault="00C72740" w:rsidP="00B22FD2">
      <w:pPr>
        <w:pStyle w:val="NormalWeb"/>
        <w:shd w:val="clear" w:color="auto" w:fill="FFFFFF"/>
        <w:ind w:left="720"/>
        <w:jc w:val="both"/>
        <w:rPr>
          <w:rFonts w:ascii="Arial" w:hAnsi="Arial" w:cs="Arial"/>
          <w:i/>
          <w:iCs/>
          <w:color w:val="000000"/>
        </w:rPr>
      </w:pPr>
      <w:r>
        <w:rPr>
          <w:rFonts w:ascii="Arial" w:hAnsi="Arial" w:cs="Arial"/>
          <w:i/>
          <w:iCs/>
          <w:color w:val="000000"/>
        </w:rPr>
        <w:t xml:space="preserve">Please use the example format below and return in an excel spreadsheet if possible: </w:t>
      </w:r>
    </w:p>
    <w:tbl>
      <w:tblPr>
        <w:tblpPr w:leftFromText="180" w:rightFromText="180" w:vertAnchor="text" w:tblpX="817"/>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0"/>
        <w:gridCol w:w="1058"/>
        <w:gridCol w:w="1067"/>
        <w:gridCol w:w="1238"/>
        <w:gridCol w:w="1261"/>
        <w:gridCol w:w="1280"/>
        <w:gridCol w:w="1261"/>
      </w:tblGrid>
      <w:tr w:rsidR="00C72740" w14:paraId="28E7997E" w14:textId="77777777" w:rsidTr="00E9413D">
        <w:trPr>
          <w:trHeight w:val="709"/>
        </w:trPr>
        <w:tc>
          <w:tcPr>
            <w:tcW w:w="1500" w:type="dxa"/>
            <w:tcMar>
              <w:top w:w="0" w:type="dxa"/>
              <w:left w:w="108" w:type="dxa"/>
              <w:bottom w:w="0" w:type="dxa"/>
              <w:right w:w="108" w:type="dxa"/>
            </w:tcMar>
            <w:hideMark/>
          </w:tcPr>
          <w:p w14:paraId="3633A4D3" w14:textId="77777777" w:rsidR="00C72740" w:rsidRDefault="00C72740" w:rsidP="00E9413D">
            <w:pPr>
              <w:rPr>
                <w:rFonts w:ascii="Arial" w:hAnsi="Arial" w:cs="Arial"/>
                <w:b/>
                <w:bCs/>
                <w:i/>
                <w:iCs/>
              </w:rPr>
            </w:pPr>
            <w:r>
              <w:rPr>
                <w:rFonts w:ascii="Arial" w:hAnsi="Arial" w:cs="Arial"/>
                <w:b/>
                <w:bCs/>
                <w:i/>
                <w:iCs/>
              </w:rPr>
              <w:t>Name of Provider</w:t>
            </w:r>
          </w:p>
        </w:tc>
        <w:tc>
          <w:tcPr>
            <w:tcW w:w="1058" w:type="dxa"/>
            <w:tcMar>
              <w:top w:w="0" w:type="dxa"/>
              <w:left w:w="108" w:type="dxa"/>
              <w:bottom w:w="0" w:type="dxa"/>
              <w:right w:w="108" w:type="dxa"/>
            </w:tcMar>
            <w:hideMark/>
          </w:tcPr>
          <w:p w14:paraId="76470D50" w14:textId="77777777" w:rsidR="00C72740" w:rsidRDefault="00C72740" w:rsidP="00E9413D">
            <w:pPr>
              <w:pStyle w:val="NormalWeb"/>
              <w:rPr>
                <w:rFonts w:ascii="Arial" w:hAnsi="Arial" w:cs="Arial"/>
                <w:b/>
                <w:bCs/>
                <w:i/>
                <w:iCs/>
                <w:sz w:val="20"/>
                <w:szCs w:val="20"/>
              </w:rPr>
            </w:pPr>
            <w:r>
              <w:rPr>
                <w:rFonts w:ascii="Arial" w:hAnsi="Arial" w:cs="Arial"/>
                <w:b/>
                <w:bCs/>
                <w:i/>
                <w:iCs/>
                <w:sz w:val="20"/>
                <w:szCs w:val="20"/>
              </w:rPr>
              <w:t xml:space="preserve">Average hourly rate </w:t>
            </w:r>
          </w:p>
        </w:tc>
        <w:tc>
          <w:tcPr>
            <w:tcW w:w="1067" w:type="dxa"/>
            <w:tcMar>
              <w:top w:w="0" w:type="dxa"/>
              <w:left w:w="108" w:type="dxa"/>
              <w:bottom w:w="0" w:type="dxa"/>
              <w:right w:w="108" w:type="dxa"/>
            </w:tcMar>
            <w:hideMark/>
          </w:tcPr>
          <w:p w14:paraId="1ED6AE06" w14:textId="77777777" w:rsidR="00C72740" w:rsidRDefault="00C72740" w:rsidP="00E9413D">
            <w:pPr>
              <w:pStyle w:val="NormalWeb"/>
              <w:rPr>
                <w:rFonts w:ascii="Arial" w:hAnsi="Arial" w:cs="Arial"/>
                <w:b/>
                <w:bCs/>
                <w:i/>
                <w:iCs/>
                <w:sz w:val="20"/>
                <w:szCs w:val="20"/>
              </w:rPr>
            </w:pPr>
            <w:r>
              <w:rPr>
                <w:rFonts w:ascii="Arial" w:hAnsi="Arial" w:cs="Arial"/>
                <w:b/>
                <w:bCs/>
                <w:i/>
                <w:iCs/>
                <w:sz w:val="20"/>
                <w:szCs w:val="20"/>
              </w:rPr>
              <w:t xml:space="preserve">Average weekly hours provided per week </w:t>
            </w:r>
          </w:p>
        </w:tc>
        <w:tc>
          <w:tcPr>
            <w:tcW w:w="1238" w:type="dxa"/>
            <w:tcMar>
              <w:top w:w="0" w:type="dxa"/>
              <w:left w:w="108" w:type="dxa"/>
              <w:bottom w:w="0" w:type="dxa"/>
              <w:right w:w="108" w:type="dxa"/>
            </w:tcMar>
            <w:hideMark/>
          </w:tcPr>
          <w:p w14:paraId="2CDEEEAD" w14:textId="77777777" w:rsidR="00C72740" w:rsidRDefault="00C72740" w:rsidP="00E9413D">
            <w:pPr>
              <w:pStyle w:val="NormalWeb"/>
              <w:rPr>
                <w:rFonts w:ascii="Arial" w:hAnsi="Arial" w:cs="Arial"/>
                <w:b/>
                <w:bCs/>
                <w:i/>
                <w:iCs/>
                <w:sz w:val="20"/>
                <w:szCs w:val="20"/>
              </w:rPr>
            </w:pPr>
            <w:r>
              <w:rPr>
                <w:rFonts w:ascii="Arial" w:hAnsi="Arial" w:cs="Arial"/>
                <w:b/>
                <w:bCs/>
                <w:i/>
                <w:iCs/>
                <w:sz w:val="20"/>
                <w:szCs w:val="20"/>
              </w:rPr>
              <w:t xml:space="preserve">Average weekly total fee </w:t>
            </w:r>
          </w:p>
        </w:tc>
        <w:tc>
          <w:tcPr>
            <w:tcW w:w="1261" w:type="dxa"/>
            <w:tcMar>
              <w:top w:w="0" w:type="dxa"/>
              <w:left w:w="108" w:type="dxa"/>
              <w:bottom w:w="0" w:type="dxa"/>
              <w:right w:w="108" w:type="dxa"/>
            </w:tcMar>
            <w:hideMark/>
          </w:tcPr>
          <w:p w14:paraId="7F773C29" w14:textId="77777777" w:rsidR="00C72740" w:rsidRDefault="00C72740" w:rsidP="00E9413D">
            <w:pPr>
              <w:pStyle w:val="NormalWeb"/>
              <w:rPr>
                <w:rFonts w:ascii="Arial" w:hAnsi="Arial" w:cs="Arial"/>
                <w:b/>
                <w:bCs/>
                <w:i/>
                <w:iCs/>
                <w:sz w:val="20"/>
                <w:szCs w:val="20"/>
              </w:rPr>
            </w:pPr>
            <w:r>
              <w:rPr>
                <w:rFonts w:ascii="Arial" w:hAnsi="Arial" w:cs="Arial"/>
                <w:b/>
                <w:bCs/>
                <w:i/>
                <w:iCs/>
                <w:sz w:val="20"/>
                <w:szCs w:val="20"/>
              </w:rPr>
              <w:t>No of individuals the provider supports</w:t>
            </w:r>
          </w:p>
        </w:tc>
        <w:tc>
          <w:tcPr>
            <w:tcW w:w="1280" w:type="dxa"/>
            <w:tcMar>
              <w:top w:w="0" w:type="dxa"/>
              <w:left w:w="108" w:type="dxa"/>
              <w:bottom w:w="0" w:type="dxa"/>
              <w:right w:w="108" w:type="dxa"/>
            </w:tcMar>
            <w:hideMark/>
          </w:tcPr>
          <w:p w14:paraId="1C4BDE84" w14:textId="77777777" w:rsidR="00C72740" w:rsidRDefault="00C72740" w:rsidP="00E9413D">
            <w:pPr>
              <w:pStyle w:val="NormalWeb"/>
              <w:rPr>
                <w:rFonts w:ascii="Arial" w:hAnsi="Arial" w:cs="Arial"/>
                <w:b/>
                <w:bCs/>
                <w:i/>
                <w:iCs/>
                <w:sz w:val="20"/>
                <w:szCs w:val="20"/>
              </w:rPr>
            </w:pPr>
            <w:r>
              <w:rPr>
                <w:rFonts w:ascii="Arial" w:hAnsi="Arial" w:cs="Arial"/>
                <w:b/>
                <w:bCs/>
                <w:i/>
                <w:iCs/>
                <w:sz w:val="20"/>
                <w:szCs w:val="20"/>
              </w:rPr>
              <w:t xml:space="preserve">No of individuals with spinal injury care and </w:t>
            </w:r>
            <w:r>
              <w:rPr>
                <w:rFonts w:ascii="Arial" w:hAnsi="Arial" w:cs="Arial"/>
                <w:b/>
                <w:bCs/>
                <w:i/>
                <w:iCs/>
                <w:sz w:val="20"/>
                <w:szCs w:val="20"/>
              </w:rPr>
              <w:lastRenderedPageBreak/>
              <w:t>support needs</w:t>
            </w:r>
          </w:p>
        </w:tc>
        <w:tc>
          <w:tcPr>
            <w:tcW w:w="1261" w:type="dxa"/>
            <w:tcMar>
              <w:top w:w="0" w:type="dxa"/>
              <w:left w:w="108" w:type="dxa"/>
              <w:bottom w:w="0" w:type="dxa"/>
              <w:right w:w="108" w:type="dxa"/>
            </w:tcMar>
            <w:hideMark/>
          </w:tcPr>
          <w:p w14:paraId="25A43DE7" w14:textId="77777777" w:rsidR="00C72740" w:rsidRDefault="00C72740" w:rsidP="00E9413D">
            <w:pPr>
              <w:pStyle w:val="NormalWeb"/>
              <w:rPr>
                <w:rFonts w:ascii="Arial" w:hAnsi="Arial" w:cs="Arial"/>
                <w:b/>
                <w:bCs/>
                <w:i/>
                <w:iCs/>
                <w:sz w:val="20"/>
                <w:szCs w:val="20"/>
              </w:rPr>
            </w:pPr>
            <w:r>
              <w:rPr>
                <w:rFonts w:ascii="Arial" w:hAnsi="Arial" w:cs="Arial"/>
                <w:b/>
                <w:bCs/>
                <w:i/>
                <w:iCs/>
                <w:sz w:val="20"/>
                <w:szCs w:val="20"/>
              </w:rPr>
              <w:lastRenderedPageBreak/>
              <w:t xml:space="preserve">No of individuals with complex care and </w:t>
            </w:r>
            <w:r>
              <w:rPr>
                <w:rFonts w:ascii="Arial" w:hAnsi="Arial" w:cs="Arial"/>
                <w:b/>
                <w:bCs/>
                <w:i/>
                <w:iCs/>
                <w:sz w:val="20"/>
                <w:szCs w:val="20"/>
              </w:rPr>
              <w:lastRenderedPageBreak/>
              <w:t>support needs</w:t>
            </w:r>
          </w:p>
        </w:tc>
      </w:tr>
      <w:tr w:rsidR="00C72740" w14:paraId="4437DC31" w14:textId="77777777" w:rsidTr="00E9413D">
        <w:trPr>
          <w:trHeight w:val="349"/>
        </w:trPr>
        <w:tc>
          <w:tcPr>
            <w:tcW w:w="1500" w:type="dxa"/>
            <w:tcMar>
              <w:top w:w="0" w:type="dxa"/>
              <w:left w:w="108" w:type="dxa"/>
              <w:bottom w:w="0" w:type="dxa"/>
              <w:right w:w="108" w:type="dxa"/>
            </w:tcMar>
            <w:hideMark/>
          </w:tcPr>
          <w:p w14:paraId="57F830B1" w14:textId="77777777" w:rsidR="00C72740" w:rsidRDefault="00C72740" w:rsidP="00E9413D">
            <w:pPr>
              <w:rPr>
                <w:rFonts w:ascii="Arial" w:hAnsi="Arial" w:cs="Arial"/>
                <w:b/>
                <w:bCs/>
                <w:i/>
                <w:iCs/>
              </w:rPr>
            </w:pPr>
            <w:r>
              <w:rPr>
                <w:rFonts w:ascii="Arial" w:hAnsi="Arial" w:cs="Arial"/>
                <w:b/>
                <w:bCs/>
                <w:i/>
                <w:iCs/>
              </w:rPr>
              <w:lastRenderedPageBreak/>
              <w:t>Provider 1 name (example)</w:t>
            </w:r>
          </w:p>
        </w:tc>
        <w:tc>
          <w:tcPr>
            <w:tcW w:w="1058" w:type="dxa"/>
            <w:tcMar>
              <w:top w:w="0" w:type="dxa"/>
              <w:left w:w="108" w:type="dxa"/>
              <w:bottom w:w="0" w:type="dxa"/>
              <w:right w:w="108" w:type="dxa"/>
            </w:tcMar>
            <w:hideMark/>
          </w:tcPr>
          <w:p w14:paraId="6770DFCC" w14:textId="77777777" w:rsidR="00C72740" w:rsidRDefault="00C72740" w:rsidP="00E9413D">
            <w:pPr>
              <w:pStyle w:val="NormalWeb"/>
              <w:rPr>
                <w:rFonts w:ascii="Arial" w:hAnsi="Arial" w:cs="Arial"/>
                <w:i/>
                <w:iCs/>
                <w:sz w:val="20"/>
                <w:szCs w:val="20"/>
              </w:rPr>
            </w:pPr>
            <w:r>
              <w:rPr>
                <w:rFonts w:ascii="Arial" w:hAnsi="Arial" w:cs="Arial"/>
                <w:i/>
                <w:iCs/>
                <w:sz w:val="20"/>
                <w:szCs w:val="20"/>
              </w:rPr>
              <w:t>£</w:t>
            </w:r>
          </w:p>
        </w:tc>
        <w:tc>
          <w:tcPr>
            <w:tcW w:w="1067" w:type="dxa"/>
            <w:tcMar>
              <w:top w:w="0" w:type="dxa"/>
              <w:left w:w="108" w:type="dxa"/>
              <w:bottom w:w="0" w:type="dxa"/>
              <w:right w:w="108" w:type="dxa"/>
            </w:tcMar>
            <w:hideMark/>
          </w:tcPr>
          <w:p w14:paraId="70468BB8" w14:textId="77777777" w:rsidR="00C72740" w:rsidRDefault="00C72740" w:rsidP="00E9413D">
            <w:pPr>
              <w:rPr>
                <w:rFonts w:ascii="Arial" w:hAnsi="Arial" w:cs="Arial"/>
                <w:i/>
                <w:iCs/>
                <w:sz w:val="20"/>
                <w:szCs w:val="20"/>
              </w:rPr>
            </w:pPr>
          </w:p>
        </w:tc>
        <w:tc>
          <w:tcPr>
            <w:tcW w:w="1238" w:type="dxa"/>
            <w:tcMar>
              <w:top w:w="0" w:type="dxa"/>
              <w:left w:w="108" w:type="dxa"/>
              <w:bottom w:w="0" w:type="dxa"/>
              <w:right w:w="108" w:type="dxa"/>
            </w:tcMar>
            <w:hideMark/>
          </w:tcPr>
          <w:p w14:paraId="5D6B0049" w14:textId="77777777" w:rsidR="00C72740" w:rsidRDefault="00C72740" w:rsidP="00E9413D">
            <w:pPr>
              <w:rPr>
                <w:rFonts w:ascii="Arial" w:eastAsiaTheme="minorHAnsi" w:hAnsi="Arial" w:cs="Arial"/>
                <w:i/>
                <w:iCs/>
                <w:sz w:val="20"/>
                <w:szCs w:val="20"/>
              </w:rPr>
            </w:pPr>
            <w:r>
              <w:rPr>
                <w:rFonts w:ascii="Arial" w:hAnsi="Arial" w:cs="Arial"/>
                <w:i/>
                <w:iCs/>
                <w:sz w:val="20"/>
                <w:szCs w:val="20"/>
              </w:rPr>
              <w:t>£</w:t>
            </w:r>
          </w:p>
        </w:tc>
        <w:tc>
          <w:tcPr>
            <w:tcW w:w="1261" w:type="dxa"/>
            <w:tcMar>
              <w:top w:w="0" w:type="dxa"/>
              <w:left w:w="108" w:type="dxa"/>
              <w:bottom w:w="0" w:type="dxa"/>
              <w:right w:w="108" w:type="dxa"/>
            </w:tcMar>
            <w:hideMark/>
          </w:tcPr>
          <w:p w14:paraId="6CF6E6D4" w14:textId="77777777" w:rsidR="00C72740" w:rsidRDefault="00C72740" w:rsidP="00E9413D">
            <w:pPr>
              <w:rPr>
                <w:rFonts w:ascii="Arial" w:hAnsi="Arial" w:cs="Arial"/>
                <w:i/>
                <w:iCs/>
                <w:sz w:val="20"/>
                <w:szCs w:val="20"/>
              </w:rPr>
            </w:pPr>
          </w:p>
        </w:tc>
        <w:tc>
          <w:tcPr>
            <w:tcW w:w="1280" w:type="dxa"/>
            <w:tcMar>
              <w:top w:w="0" w:type="dxa"/>
              <w:left w:w="108" w:type="dxa"/>
              <w:bottom w:w="0" w:type="dxa"/>
              <w:right w:w="108" w:type="dxa"/>
            </w:tcMar>
            <w:hideMark/>
          </w:tcPr>
          <w:p w14:paraId="57024BF3" w14:textId="77777777" w:rsidR="00C72740" w:rsidRDefault="00C72740" w:rsidP="00E9413D">
            <w:pPr>
              <w:rPr>
                <w:rFonts w:ascii="Times New Roman" w:eastAsia="Times New Roman" w:hAnsi="Times New Roman"/>
                <w:sz w:val="20"/>
                <w:szCs w:val="20"/>
              </w:rPr>
            </w:pPr>
          </w:p>
        </w:tc>
        <w:tc>
          <w:tcPr>
            <w:tcW w:w="1261" w:type="dxa"/>
            <w:tcMar>
              <w:top w:w="0" w:type="dxa"/>
              <w:left w:w="108" w:type="dxa"/>
              <w:bottom w:w="0" w:type="dxa"/>
              <w:right w:w="108" w:type="dxa"/>
            </w:tcMar>
            <w:hideMark/>
          </w:tcPr>
          <w:p w14:paraId="0E2889B7" w14:textId="77777777" w:rsidR="00C72740" w:rsidRDefault="00C72740" w:rsidP="00E9413D">
            <w:pPr>
              <w:pStyle w:val="NormalWeb"/>
              <w:rPr>
                <w:rFonts w:ascii="Arial" w:hAnsi="Arial" w:cs="Arial"/>
                <w:i/>
                <w:iCs/>
                <w:sz w:val="20"/>
                <w:szCs w:val="20"/>
              </w:rPr>
            </w:pPr>
            <w:r>
              <w:rPr>
                <w:rFonts w:ascii="Arial" w:hAnsi="Arial" w:cs="Arial"/>
                <w:i/>
                <w:iCs/>
                <w:sz w:val="20"/>
                <w:szCs w:val="20"/>
              </w:rPr>
              <w:t>e.g long term, volume</w:t>
            </w:r>
          </w:p>
        </w:tc>
      </w:tr>
      <w:tr w:rsidR="00C72740" w14:paraId="2018742A" w14:textId="77777777" w:rsidTr="00E9413D">
        <w:trPr>
          <w:trHeight w:val="349"/>
        </w:trPr>
        <w:tc>
          <w:tcPr>
            <w:tcW w:w="1500" w:type="dxa"/>
            <w:tcMar>
              <w:top w:w="0" w:type="dxa"/>
              <w:left w:w="108" w:type="dxa"/>
              <w:bottom w:w="0" w:type="dxa"/>
              <w:right w:w="108" w:type="dxa"/>
            </w:tcMar>
            <w:hideMark/>
          </w:tcPr>
          <w:p w14:paraId="2E070BCF" w14:textId="77777777" w:rsidR="00C72740" w:rsidRDefault="00C72740" w:rsidP="00E9413D">
            <w:pPr>
              <w:rPr>
                <w:rFonts w:ascii="Arial" w:hAnsi="Arial" w:cs="Arial"/>
                <w:b/>
                <w:bCs/>
                <w:i/>
                <w:iCs/>
              </w:rPr>
            </w:pPr>
            <w:r>
              <w:rPr>
                <w:rFonts w:ascii="Arial" w:hAnsi="Arial" w:cs="Arial"/>
                <w:b/>
                <w:bCs/>
                <w:i/>
                <w:iCs/>
              </w:rPr>
              <w:t>Provider 2 name (example)</w:t>
            </w:r>
          </w:p>
        </w:tc>
        <w:tc>
          <w:tcPr>
            <w:tcW w:w="1058" w:type="dxa"/>
            <w:tcMar>
              <w:top w:w="0" w:type="dxa"/>
              <w:left w:w="108" w:type="dxa"/>
              <w:bottom w:w="0" w:type="dxa"/>
              <w:right w:w="108" w:type="dxa"/>
            </w:tcMar>
            <w:hideMark/>
          </w:tcPr>
          <w:p w14:paraId="5F5CCD07" w14:textId="77777777" w:rsidR="00C72740" w:rsidRDefault="00C72740" w:rsidP="00E9413D">
            <w:pPr>
              <w:pStyle w:val="NormalWeb"/>
              <w:rPr>
                <w:rFonts w:ascii="Arial" w:hAnsi="Arial" w:cs="Arial"/>
                <w:i/>
                <w:iCs/>
                <w:sz w:val="20"/>
                <w:szCs w:val="20"/>
              </w:rPr>
            </w:pPr>
            <w:r>
              <w:rPr>
                <w:rFonts w:ascii="Arial" w:hAnsi="Arial" w:cs="Arial"/>
                <w:i/>
                <w:iCs/>
                <w:sz w:val="20"/>
                <w:szCs w:val="20"/>
              </w:rPr>
              <w:t>£</w:t>
            </w:r>
          </w:p>
        </w:tc>
        <w:tc>
          <w:tcPr>
            <w:tcW w:w="1067" w:type="dxa"/>
            <w:tcMar>
              <w:top w:w="0" w:type="dxa"/>
              <w:left w:w="108" w:type="dxa"/>
              <w:bottom w:w="0" w:type="dxa"/>
              <w:right w:w="108" w:type="dxa"/>
            </w:tcMar>
            <w:hideMark/>
          </w:tcPr>
          <w:p w14:paraId="063274AA" w14:textId="77777777" w:rsidR="00C72740" w:rsidRDefault="00C72740" w:rsidP="00E9413D">
            <w:pPr>
              <w:rPr>
                <w:rFonts w:ascii="Arial" w:hAnsi="Arial" w:cs="Arial"/>
                <w:i/>
                <w:iCs/>
                <w:sz w:val="20"/>
                <w:szCs w:val="20"/>
              </w:rPr>
            </w:pPr>
          </w:p>
        </w:tc>
        <w:tc>
          <w:tcPr>
            <w:tcW w:w="1238" w:type="dxa"/>
            <w:tcMar>
              <w:top w:w="0" w:type="dxa"/>
              <w:left w:w="108" w:type="dxa"/>
              <w:bottom w:w="0" w:type="dxa"/>
              <w:right w:w="108" w:type="dxa"/>
            </w:tcMar>
            <w:hideMark/>
          </w:tcPr>
          <w:p w14:paraId="58B25F8B" w14:textId="77777777" w:rsidR="00C72740" w:rsidRDefault="00C72740" w:rsidP="00E9413D">
            <w:pPr>
              <w:pStyle w:val="NormalWeb"/>
              <w:rPr>
                <w:rFonts w:ascii="Arial" w:hAnsi="Arial" w:cs="Arial"/>
                <w:i/>
                <w:iCs/>
                <w:sz w:val="20"/>
                <w:szCs w:val="20"/>
              </w:rPr>
            </w:pPr>
            <w:r>
              <w:rPr>
                <w:rFonts w:ascii="Arial" w:hAnsi="Arial" w:cs="Arial"/>
                <w:i/>
                <w:iCs/>
                <w:sz w:val="20"/>
                <w:szCs w:val="20"/>
              </w:rPr>
              <w:t>£</w:t>
            </w:r>
          </w:p>
        </w:tc>
        <w:tc>
          <w:tcPr>
            <w:tcW w:w="1261" w:type="dxa"/>
            <w:tcMar>
              <w:top w:w="0" w:type="dxa"/>
              <w:left w:w="108" w:type="dxa"/>
              <w:bottom w:w="0" w:type="dxa"/>
              <w:right w:w="108" w:type="dxa"/>
            </w:tcMar>
            <w:hideMark/>
          </w:tcPr>
          <w:p w14:paraId="4E0843C4" w14:textId="77777777" w:rsidR="00C72740" w:rsidRDefault="00C72740" w:rsidP="00E9413D">
            <w:pPr>
              <w:rPr>
                <w:rFonts w:ascii="Arial" w:hAnsi="Arial" w:cs="Arial"/>
                <w:i/>
                <w:iCs/>
                <w:sz w:val="20"/>
                <w:szCs w:val="20"/>
              </w:rPr>
            </w:pPr>
          </w:p>
        </w:tc>
        <w:tc>
          <w:tcPr>
            <w:tcW w:w="1280" w:type="dxa"/>
            <w:tcMar>
              <w:top w:w="0" w:type="dxa"/>
              <w:left w:w="108" w:type="dxa"/>
              <w:bottom w:w="0" w:type="dxa"/>
              <w:right w:w="108" w:type="dxa"/>
            </w:tcMar>
            <w:hideMark/>
          </w:tcPr>
          <w:p w14:paraId="2E1CA21A" w14:textId="77777777" w:rsidR="00C72740" w:rsidRDefault="00C72740" w:rsidP="00E9413D">
            <w:pPr>
              <w:rPr>
                <w:rFonts w:ascii="Times New Roman" w:eastAsia="Times New Roman" w:hAnsi="Times New Roman"/>
                <w:sz w:val="20"/>
                <w:szCs w:val="20"/>
              </w:rPr>
            </w:pPr>
          </w:p>
        </w:tc>
        <w:tc>
          <w:tcPr>
            <w:tcW w:w="1261" w:type="dxa"/>
            <w:tcMar>
              <w:top w:w="0" w:type="dxa"/>
              <w:left w:w="108" w:type="dxa"/>
              <w:bottom w:w="0" w:type="dxa"/>
              <w:right w:w="108" w:type="dxa"/>
            </w:tcMar>
            <w:hideMark/>
          </w:tcPr>
          <w:p w14:paraId="1B838881" w14:textId="77777777" w:rsidR="00C72740" w:rsidRDefault="00C72740" w:rsidP="00E9413D">
            <w:pPr>
              <w:rPr>
                <w:rFonts w:ascii="Times New Roman" w:eastAsia="Times New Roman" w:hAnsi="Times New Roman"/>
                <w:sz w:val="20"/>
                <w:szCs w:val="20"/>
              </w:rPr>
            </w:pPr>
          </w:p>
        </w:tc>
      </w:tr>
      <w:tr w:rsidR="00C72740" w14:paraId="2DF39AD4" w14:textId="77777777" w:rsidTr="00E9413D">
        <w:trPr>
          <w:trHeight w:val="349"/>
        </w:trPr>
        <w:tc>
          <w:tcPr>
            <w:tcW w:w="1500" w:type="dxa"/>
            <w:tcMar>
              <w:top w:w="0" w:type="dxa"/>
              <w:left w:w="108" w:type="dxa"/>
              <w:bottom w:w="0" w:type="dxa"/>
              <w:right w:w="108" w:type="dxa"/>
            </w:tcMar>
            <w:hideMark/>
          </w:tcPr>
          <w:p w14:paraId="652D24AE" w14:textId="77777777" w:rsidR="00C72740" w:rsidRDefault="00C72740" w:rsidP="00E9413D">
            <w:pPr>
              <w:rPr>
                <w:rFonts w:ascii="Arial" w:eastAsiaTheme="minorHAnsi" w:hAnsi="Arial" w:cs="Arial"/>
                <w:b/>
                <w:bCs/>
                <w:i/>
                <w:iCs/>
              </w:rPr>
            </w:pPr>
            <w:r>
              <w:rPr>
                <w:rFonts w:ascii="Arial" w:hAnsi="Arial" w:cs="Arial"/>
                <w:b/>
                <w:bCs/>
                <w:i/>
                <w:iCs/>
              </w:rPr>
              <w:t>Total (of all placements)</w:t>
            </w:r>
          </w:p>
        </w:tc>
        <w:tc>
          <w:tcPr>
            <w:tcW w:w="1058" w:type="dxa"/>
            <w:tcMar>
              <w:top w:w="0" w:type="dxa"/>
              <w:left w:w="108" w:type="dxa"/>
              <w:bottom w:w="0" w:type="dxa"/>
              <w:right w:w="108" w:type="dxa"/>
            </w:tcMar>
            <w:hideMark/>
          </w:tcPr>
          <w:p w14:paraId="0FE5149C" w14:textId="77777777" w:rsidR="00C72740" w:rsidRDefault="00C72740" w:rsidP="00E9413D">
            <w:pPr>
              <w:pStyle w:val="NormalWeb"/>
              <w:rPr>
                <w:rFonts w:ascii="Arial" w:hAnsi="Arial" w:cs="Arial"/>
                <w:i/>
                <w:iCs/>
                <w:sz w:val="20"/>
                <w:szCs w:val="20"/>
              </w:rPr>
            </w:pPr>
            <w:r>
              <w:rPr>
                <w:rFonts w:ascii="Arial" w:hAnsi="Arial" w:cs="Arial"/>
                <w:i/>
                <w:iCs/>
                <w:sz w:val="20"/>
                <w:szCs w:val="20"/>
              </w:rPr>
              <w:t>£</w:t>
            </w:r>
          </w:p>
        </w:tc>
        <w:tc>
          <w:tcPr>
            <w:tcW w:w="1067" w:type="dxa"/>
            <w:tcMar>
              <w:top w:w="0" w:type="dxa"/>
              <w:left w:w="108" w:type="dxa"/>
              <w:bottom w:w="0" w:type="dxa"/>
              <w:right w:w="108" w:type="dxa"/>
            </w:tcMar>
            <w:hideMark/>
          </w:tcPr>
          <w:p w14:paraId="62545FA4" w14:textId="77777777" w:rsidR="00C72740" w:rsidRDefault="00C72740" w:rsidP="00E9413D">
            <w:pPr>
              <w:rPr>
                <w:rFonts w:ascii="Arial" w:hAnsi="Arial" w:cs="Arial"/>
                <w:i/>
                <w:iCs/>
                <w:sz w:val="20"/>
                <w:szCs w:val="20"/>
              </w:rPr>
            </w:pPr>
          </w:p>
        </w:tc>
        <w:tc>
          <w:tcPr>
            <w:tcW w:w="1238" w:type="dxa"/>
            <w:tcMar>
              <w:top w:w="0" w:type="dxa"/>
              <w:left w:w="108" w:type="dxa"/>
              <w:bottom w:w="0" w:type="dxa"/>
              <w:right w:w="108" w:type="dxa"/>
            </w:tcMar>
            <w:hideMark/>
          </w:tcPr>
          <w:p w14:paraId="59E5EE8B" w14:textId="77777777" w:rsidR="00C72740" w:rsidRDefault="00C72740" w:rsidP="00E9413D">
            <w:pPr>
              <w:pStyle w:val="NormalWeb"/>
              <w:rPr>
                <w:rFonts w:ascii="Arial" w:hAnsi="Arial" w:cs="Arial"/>
                <w:i/>
                <w:iCs/>
                <w:sz w:val="20"/>
                <w:szCs w:val="20"/>
              </w:rPr>
            </w:pPr>
            <w:r>
              <w:rPr>
                <w:rFonts w:ascii="Arial" w:hAnsi="Arial" w:cs="Arial"/>
                <w:i/>
                <w:iCs/>
                <w:sz w:val="20"/>
                <w:szCs w:val="20"/>
              </w:rPr>
              <w:t>£</w:t>
            </w:r>
          </w:p>
        </w:tc>
        <w:tc>
          <w:tcPr>
            <w:tcW w:w="1261" w:type="dxa"/>
            <w:tcMar>
              <w:top w:w="0" w:type="dxa"/>
              <w:left w:w="108" w:type="dxa"/>
              <w:bottom w:w="0" w:type="dxa"/>
              <w:right w:w="108" w:type="dxa"/>
            </w:tcMar>
            <w:hideMark/>
          </w:tcPr>
          <w:p w14:paraId="64FD2DC6" w14:textId="77777777" w:rsidR="00C72740" w:rsidRDefault="00C72740" w:rsidP="00E9413D">
            <w:pPr>
              <w:rPr>
                <w:rFonts w:ascii="Arial" w:hAnsi="Arial" w:cs="Arial"/>
                <w:i/>
                <w:iCs/>
                <w:sz w:val="20"/>
                <w:szCs w:val="20"/>
              </w:rPr>
            </w:pPr>
          </w:p>
        </w:tc>
        <w:tc>
          <w:tcPr>
            <w:tcW w:w="1280" w:type="dxa"/>
            <w:tcMar>
              <w:top w:w="0" w:type="dxa"/>
              <w:left w:w="108" w:type="dxa"/>
              <w:bottom w:w="0" w:type="dxa"/>
              <w:right w:w="108" w:type="dxa"/>
            </w:tcMar>
            <w:hideMark/>
          </w:tcPr>
          <w:p w14:paraId="5FD1F89E" w14:textId="77777777" w:rsidR="00C72740" w:rsidRDefault="00C72740" w:rsidP="00E9413D">
            <w:pPr>
              <w:rPr>
                <w:rFonts w:ascii="Times New Roman" w:eastAsia="Times New Roman" w:hAnsi="Times New Roman"/>
                <w:sz w:val="20"/>
                <w:szCs w:val="20"/>
              </w:rPr>
            </w:pPr>
          </w:p>
        </w:tc>
        <w:tc>
          <w:tcPr>
            <w:tcW w:w="1261" w:type="dxa"/>
            <w:tcMar>
              <w:top w:w="0" w:type="dxa"/>
              <w:left w:w="108" w:type="dxa"/>
              <w:bottom w:w="0" w:type="dxa"/>
              <w:right w:w="108" w:type="dxa"/>
            </w:tcMar>
            <w:hideMark/>
          </w:tcPr>
          <w:p w14:paraId="153BB0A0" w14:textId="77777777" w:rsidR="00C72740" w:rsidRDefault="00C72740" w:rsidP="00E9413D">
            <w:pPr>
              <w:rPr>
                <w:rFonts w:ascii="Times New Roman" w:eastAsia="Times New Roman" w:hAnsi="Times New Roman"/>
                <w:sz w:val="20"/>
                <w:szCs w:val="20"/>
              </w:rPr>
            </w:pPr>
          </w:p>
        </w:tc>
      </w:tr>
    </w:tbl>
    <w:p w14:paraId="75879366" w14:textId="77777777" w:rsidR="00C72740" w:rsidRDefault="00C72740" w:rsidP="00C72740">
      <w:pPr>
        <w:rPr>
          <w:rFonts w:ascii="Arial" w:eastAsiaTheme="minorHAnsi" w:hAnsi="Arial" w:cs="Arial"/>
          <w:i/>
          <w:iCs/>
        </w:rPr>
      </w:pPr>
    </w:p>
    <w:p w14:paraId="6D2EAED5" w14:textId="77777777" w:rsidR="00C72740" w:rsidRDefault="00C72740" w:rsidP="00C72740">
      <w:pPr>
        <w:rPr>
          <w:rFonts w:ascii="Arial" w:hAnsi="Arial" w:cs="Arial"/>
          <w:i/>
          <w:iCs/>
          <w:lang w:eastAsia="en-GB"/>
        </w:rPr>
      </w:pPr>
    </w:p>
    <w:p w14:paraId="32F6081B" w14:textId="77777777" w:rsidR="00C72740" w:rsidRDefault="00C72740" w:rsidP="00C72740">
      <w:pPr>
        <w:rPr>
          <w:rFonts w:ascii="Arial" w:hAnsi="Arial" w:cs="Arial"/>
          <w:i/>
          <w:iCs/>
        </w:rPr>
      </w:pPr>
    </w:p>
    <w:p w14:paraId="23A1CED9" w14:textId="77777777" w:rsidR="00C72740" w:rsidRDefault="00C72740" w:rsidP="00C72740">
      <w:pPr>
        <w:rPr>
          <w:rFonts w:ascii="Arial" w:hAnsi="Arial" w:cs="Arial"/>
          <w:i/>
          <w:iCs/>
        </w:rPr>
      </w:pPr>
    </w:p>
    <w:p w14:paraId="118928E9" w14:textId="77777777" w:rsidR="00C72740" w:rsidRDefault="00C72740" w:rsidP="00C72740">
      <w:pPr>
        <w:rPr>
          <w:rFonts w:ascii="Arial" w:hAnsi="Arial" w:cs="Arial"/>
          <w:i/>
          <w:iCs/>
        </w:rPr>
      </w:pPr>
    </w:p>
    <w:p w14:paraId="55F33076" w14:textId="77777777" w:rsidR="00C72740" w:rsidRDefault="00C72740" w:rsidP="00C72740">
      <w:pPr>
        <w:rPr>
          <w:rFonts w:ascii="Arial" w:hAnsi="Arial" w:cs="Arial"/>
          <w:i/>
          <w:iCs/>
        </w:rPr>
      </w:pPr>
    </w:p>
    <w:p w14:paraId="6D96F316" w14:textId="77777777" w:rsidR="00C72740" w:rsidRDefault="00C72740" w:rsidP="00C72740">
      <w:pPr>
        <w:rPr>
          <w:rFonts w:ascii="Arial" w:hAnsi="Arial" w:cs="Arial"/>
          <w:i/>
          <w:iCs/>
        </w:rPr>
      </w:pPr>
    </w:p>
    <w:p w14:paraId="2956B9A3" w14:textId="77777777" w:rsidR="00C72740" w:rsidRDefault="00C72740" w:rsidP="00C72740">
      <w:pPr>
        <w:rPr>
          <w:i/>
          <w:iCs/>
        </w:rPr>
      </w:pPr>
    </w:p>
    <w:p w14:paraId="0AAE03CE" w14:textId="2EF3ADDE" w:rsidR="00C72740" w:rsidRPr="00802E35" w:rsidRDefault="00C72740" w:rsidP="00802E35">
      <w:pPr>
        <w:ind w:left="720"/>
        <w:rPr>
          <w:rFonts w:ascii="Arial" w:hAnsi="Arial" w:cs="Arial"/>
          <w:i/>
          <w:iCs/>
          <w:color w:val="365F91" w:themeColor="accent1" w:themeShade="BF"/>
          <w:sz w:val="24"/>
          <w:szCs w:val="24"/>
        </w:rPr>
      </w:pPr>
      <w:r w:rsidRPr="0055204E">
        <w:rPr>
          <w:rFonts w:ascii="Arial" w:hAnsi="Arial" w:cs="Arial"/>
          <w:color w:val="365F91" w:themeColor="accent1" w:themeShade="BF"/>
          <w:sz w:val="24"/>
          <w:szCs w:val="24"/>
        </w:rPr>
        <w:t>NHS Nottingham and Nottinghamshire ICB do not collect information in the format requested above. </w:t>
      </w:r>
    </w:p>
    <w:p w14:paraId="7F1C7B27" w14:textId="7BD738E1" w:rsidR="00C72740" w:rsidRDefault="00C72740" w:rsidP="00C72740">
      <w:pPr>
        <w:pStyle w:val="ListParagraph"/>
        <w:numPr>
          <w:ilvl w:val="0"/>
          <w:numId w:val="9"/>
        </w:numPr>
        <w:spacing w:after="0" w:line="240" w:lineRule="auto"/>
        <w:contextualSpacing w:val="0"/>
        <w:rPr>
          <w:rFonts w:ascii="Arial" w:eastAsia="Times New Roman" w:hAnsi="Arial" w:cs="Arial"/>
          <w:i/>
          <w:iCs/>
          <w:lang w:eastAsia="en-GB"/>
        </w:rPr>
      </w:pPr>
      <w:r>
        <w:rPr>
          <w:rFonts w:ascii="Arial" w:eastAsia="Times New Roman" w:hAnsi="Arial" w:cs="Arial"/>
          <w:i/>
          <w:iCs/>
        </w:rPr>
        <w:t>Please explain the process followed when you are unable to source a provider from the framework. Is there is a mailing list for this and if so please share the contact details of the team or individual responsible for making off framework package of care arrangements.</w:t>
      </w:r>
      <w:r>
        <w:rPr>
          <w:rFonts w:ascii="Arial" w:eastAsia="Times New Roman" w:hAnsi="Arial" w:cs="Arial"/>
          <w:i/>
          <w:iCs/>
          <w:lang w:eastAsia="en-GB"/>
        </w:rPr>
        <w:t xml:space="preserve"> </w:t>
      </w:r>
    </w:p>
    <w:p w14:paraId="63C1D5DF" w14:textId="77777777" w:rsidR="00C72740" w:rsidRDefault="00C72740" w:rsidP="00C72740">
      <w:pPr>
        <w:pStyle w:val="ListParagraph"/>
        <w:spacing w:after="0" w:line="240" w:lineRule="auto"/>
        <w:contextualSpacing w:val="0"/>
        <w:rPr>
          <w:rFonts w:ascii="Arial" w:eastAsia="Times New Roman" w:hAnsi="Arial" w:cs="Arial"/>
          <w:i/>
          <w:iCs/>
          <w:lang w:eastAsia="en-GB"/>
        </w:rPr>
      </w:pPr>
    </w:p>
    <w:p w14:paraId="07863F4C" w14:textId="77777777" w:rsidR="0055204E" w:rsidRPr="0055204E" w:rsidRDefault="0055204E" w:rsidP="0055204E">
      <w:pPr>
        <w:pStyle w:val="ListParagraph"/>
        <w:rPr>
          <w:rFonts w:ascii="Arial" w:hAnsi="Arial" w:cs="Arial"/>
          <w:color w:val="365F91" w:themeColor="accent1" w:themeShade="BF"/>
          <w:lang w:val="en-GB"/>
        </w:rPr>
      </w:pPr>
      <w:r w:rsidRPr="0055204E">
        <w:rPr>
          <w:rFonts w:ascii="Arial" w:hAnsi="Arial" w:cs="Arial"/>
          <w:color w:val="365F91" w:themeColor="accent1" w:themeShade="BF"/>
        </w:rPr>
        <w:t>The Delivery Teams in Nottingham and Nottinghamshire have a Standard Operational Procedure in place that they follow to source providers.  The contact details for the delivery teams are:</w:t>
      </w:r>
    </w:p>
    <w:p w14:paraId="44370D91" w14:textId="77777777" w:rsidR="0055204E" w:rsidRPr="0055204E" w:rsidRDefault="0055204E" w:rsidP="0055204E">
      <w:pPr>
        <w:pStyle w:val="ListParagraph"/>
        <w:rPr>
          <w:rFonts w:ascii="Arial" w:hAnsi="Arial" w:cs="Arial"/>
          <w:color w:val="365F91" w:themeColor="accent1" w:themeShade="BF"/>
        </w:rPr>
      </w:pPr>
      <w:r w:rsidRPr="0055204E">
        <w:rPr>
          <w:rFonts w:ascii="Arial" w:hAnsi="Arial" w:cs="Arial"/>
          <w:color w:val="365F91" w:themeColor="accent1" w:themeShade="BF"/>
        </w:rPr>
        <w:t xml:space="preserve">City Care - </w:t>
      </w:r>
      <w:hyperlink r:id="rId8" w:history="1">
        <w:r w:rsidRPr="0055204E">
          <w:rPr>
            <w:rStyle w:val="Hyperlink"/>
            <w:rFonts w:ascii="Arial" w:hAnsi="Arial" w:cs="Arial"/>
            <w:color w:val="365F91" w:themeColor="accent1" w:themeShade="BF"/>
          </w:rPr>
          <w:t>NCP.continuingcarenotts@nhs.net</w:t>
        </w:r>
      </w:hyperlink>
    </w:p>
    <w:p w14:paraId="0F104E0B" w14:textId="77777777" w:rsidR="0055204E" w:rsidRPr="0055204E" w:rsidRDefault="0055204E" w:rsidP="0055204E">
      <w:pPr>
        <w:pStyle w:val="ListParagraph"/>
        <w:rPr>
          <w:rFonts w:cs="Calibri"/>
          <w:color w:val="365F91" w:themeColor="accent1" w:themeShade="BF"/>
        </w:rPr>
      </w:pPr>
      <w:r w:rsidRPr="0055204E">
        <w:rPr>
          <w:rFonts w:ascii="Arial" w:hAnsi="Arial" w:cs="Arial"/>
          <w:color w:val="365F91" w:themeColor="accent1" w:themeShade="BF"/>
        </w:rPr>
        <w:t xml:space="preserve">Mid Notts - </w:t>
      </w:r>
      <w:hyperlink r:id="rId9" w:history="1">
        <w:r w:rsidRPr="0055204E">
          <w:rPr>
            <w:rStyle w:val="Hyperlink"/>
            <w:rFonts w:ascii="Arial" w:hAnsi="Arial" w:cs="Arial"/>
            <w:color w:val="365F91" w:themeColor="accent1" w:themeShade="BF"/>
          </w:rPr>
          <w:t>nnicb-nn.midnottschc@nhs.net</w:t>
        </w:r>
      </w:hyperlink>
    </w:p>
    <w:p w14:paraId="7F8EB1B7" w14:textId="77777777" w:rsidR="0055204E" w:rsidRPr="0055204E" w:rsidRDefault="0055204E" w:rsidP="0055204E">
      <w:pPr>
        <w:pStyle w:val="ListParagraph"/>
        <w:rPr>
          <w:color w:val="365F91" w:themeColor="accent1" w:themeShade="BF"/>
        </w:rPr>
      </w:pPr>
    </w:p>
    <w:p w14:paraId="2044C2C0" w14:textId="77777777" w:rsidR="0055204E" w:rsidRPr="0055204E" w:rsidRDefault="0055204E" w:rsidP="0055204E">
      <w:pPr>
        <w:pStyle w:val="ListParagraph"/>
        <w:rPr>
          <w:rFonts w:ascii="Arial" w:hAnsi="Arial" w:cs="Arial"/>
          <w:color w:val="365F91" w:themeColor="accent1" w:themeShade="BF"/>
        </w:rPr>
      </w:pPr>
      <w:r w:rsidRPr="0055204E">
        <w:rPr>
          <w:rFonts w:ascii="Arial" w:hAnsi="Arial" w:cs="Arial"/>
          <w:color w:val="365F91" w:themeColor="accent1" w:themeShade="BF"/>
        </w:rPr>
        <w:t xml:space="preserve">The email address for the CHC Team in Bassetlaw is: </w:t>
      </w:r>
      <w:hyperlink r:id="rId10" w:history="1">
        <w:r w:rsidRPr="0055204E">
          <w:rPr>
            <w:rStyle w:val="Hyperlink"/>
            <w:rFonts w:ascii="Arial" w:hAnsi="Arial" w:cs="Arial"/>
            <w:color w:val="365F91" w:themeColor="accent1" w:themeShade="BF"/>
          </w:rPr>
          <w:t>nnicb-bassetlaw.chc-office@nhs.net</w:t>
        </w:r>
      </w:hyperlink>
    </w:p>
    <w:p w14:paraId="42420A7C" w14:textId="6E596D40" w:rsidR="00C72740" w:rsidRPr="00C72740" w:rsidRDefault="00C72740" w:rsidP="00C72740">
      <w:pPr>
        <w:rPr>
          <w:rFonts w:ascii="Arial" w:hAnsi="Arial" w:cs="Arial"/>
          <w:b/>
          <w:bCs/>
          <w:i/>
          <w:iCs/>
        </w:rPr>
      </w:pPr>
      <w:r>
        <w:rPr>
          <w:rFonts w:ascii="Arial" w:hAnsi="Arial" w:cs="Arial"/>
          <w:b/>
          <w:bCs/>
          <w:i/>
          <w:iCs/>
        </w:rPr>
        <w:t>General information</w:t>
      </w:r>
    </w:p>
    <w:p w14:paraId="5C662EEE" w14:textId="7879A181" w:rsidR="00C72740" w:rsidRDefault="00C72740" w:rsidP="0055204E">
      <w:pPr>
        <w:numPr>
          <w:ilvl w:val="0"/>
          <w:numId w:val="10"/>
        </w:numPr>
        <w:spacing w:after="0" w:line="240" w:lineRule="auto"/>
        <w:rPr>
          <w:rFonts w:ascii="Arial" w:eastAsia="Times New Roman" w:hAnsi="Arial" w:cs="Arial"/>
          <w:i/>
          <w:iCs/>
          <w:color w:val="0B0C0C"/>
        </w:rPr>
      </w:pPr>
      <w:r>
        <w:rPr>
          <w:rFonts w:ascii="Arial" w:eastAsia="Times New Roman" w:hAnsi="Arial" w:cs="Arial"/>
          <w:i/>
          <w:iCs/>
        </w:rPr>
        <w:t>Provide details of any e-sourcing portals used by your ICB/LA to advertise tender opportunities for Complex Care and Support Services including Spinal Care Services,</w:t>
      </w:r>
    </w:p>
    <w:p w14:paraId="6D35BEF5" w14:textId="77777777" w:rsidR="0055204E" w:rsidRPr="0055204E" w:rsidRDefault="0055204E" w:rsidP="0055204E">
      <w:pPr>
        <w:spacing w:after="0" w:line="240" w:lineRule="auto"/>
        <w:ind w:left="720"/>
        <w:rPr>
          <w:rFonts w:ascii="Arial" w:eastAsia="Times New Roman" w:hAnsi="Arial" w:cs="Arial"/>
          <w:i/>
          <w:iCs/>
          <w:color w:val="0B0C0C"/>
        </w:rPr>
      </w:pPr>
    </w:p>
    <w:p w14:paraId="3999AEC8" w14:textId="5561EF3F" w:rsidR="00B22FD2" w:rsidRPr="00802E35" w:rsidRDefault="0055204E" w:rsidP="00802E35">
      <w:pPr>
        <w:ind w:left="720"/>
        <w:rPr>
          <w:rFonts w:ascii="Arial" w:hAnsi="Arial" w:cs="Arial"/>
          <w:color w:val="365F91" w:themeColor="accent1" w:themeShade="BF"/>
        </w:rPr>
      </w:pPr>
      <w:r w:rsidRPr="0055204E">
        <w:rPr>
          <w:rFonts w:ascii="Arial" w:hAnsi="Arial" w:cs="Arial"/>
          <w:color w:val="365F91" w:themeColor="accent1" w:themeShade="BF"/>
        </w:rPr>
        <w:t>NHS Nottingham and Nottinghamshire ICB do not tender for individual care packages.</w:t>
      </w:r>
    </w:p>
    <w:p w14:paraId="08B88F2E" w14:textId="77777777" w:rsidR="0055204E" w:rsidRPr="0055204E" w:rsidRDefault="00C72740" w:rsidP="00C72740">
      <w:pPr>
        <w:numPr>
          <w:ilvl w:val="0"/>
          <w:numId w:val="10"/>
        </w:numPr>
        <w:spacing w:after="0" w:line="240" w:lineRule="auto"/>
        <w:rPr>
          <w:rFonts w:ascii="Arial" w:eastAsia="Times New Roman" w:hAnsi="Arial" w:cs="Arial"/>
          <w:i/>
          <w:iCs/>
          <w:color w:val="0B0C0C"/>
        </w:rPr>
      </w:pPr>
      <w:r>
        <w:rPr>
          <w:rFonts w:ascii="Arial" w:eastAsia="Times New Roman" w:hAnsi="Arial" w:cs="Arial"/>
          <w:i/>
          <w:iCs/>
          <w:color w:val="0B0C0C"/>
        </w:rPr>
        <w:t>Details of which team/ department commission</w:t>
      </w:r>
      <w:r>
        <w:rPr>
          <w:rFonts w:ascii="Arial" w:eastAsia="Times New Roman" w:hAnsi="Arial" w:cs="Arial"/>
          <w:i/>
          <w:iCs/>
        </w:rPr>
        <w:t>/source</w:t>
      </w:r>
      <w:r>
        <w:rPr>
          <w:rFonts w:ascii="Arial" w:eastAsia="Times New Roman" w:hAnsi="Arial" w:cs="Arial"/>
          <w:i/>
          <w:iCs/>
          <w:color w:val="0B0C0C"/>
        </w:rPr>
        <w:t xml:space="preserve"> </w:t>
      </w:r>
      <w:r>
        <w:rPr>
          <w:rFonts w:ascii="Arial" w:eastAsia="Times New Roman" w:hAnsi="Arial" w:cs="Arial"/>
          <w:i/>
          <w:iCs/>
        </w:rPr>
        <w:t>Complex Care and Support packages where an individual has CHC funding in place, please detail whether this is commissioned directly by the ICB or whether the commissioning of these packages of care are commissioned by the responsible Local Authority for the individual in need of care and support and CHC funding.</w:t>
      </w:r>
    </w:p>
    <w:p w14:paraId="572345B0" w14:textId="41EBA8D3" w:rsidR="00C72740" w:rsidRDefault="00C72740" w:rsidP="0055204E">
      <w:pPr>
        <w:spacing w:after="0" w:line="240" w:lineRule="auto"/>
        <w:ind w:left="720"/>
        <w:rPr>
          <w:rFonts w:ascii="Arial" w:eastAsia="Times New Roman" w:hAnsi="Arial" w:cs="Arial"/>
          <w:i/>
          <w:iCs/>
          <w:color w:val="0B0C0C"/>
        </w:rPr>
      </w:pPr>
      <w:r>
        <w:rPr>
          <w:rFonts w:ascii="Arial" w:eastAsia="Times New Roman" w:hAnsi="Arial" w:cs="Arial"/>
          <w:i/>
          <w:iCs/>
        </w:rPr>
        <w:t xml:space="preserve"> </w:t>
      </w:r>
    </w:p>
    <w:p w14:paraId="5399F2B2" w14:textId="77777777" w:rsidR="0055204E" w:rsidRPr="0055204E" w:rsidRDefault="0055204E" w:rsidP="0055204E">
      <w:pPr>
        <w:ind w:left="720"/>
        <w:rPr>
          <w:rFonts w:ascii="Arial" w:hAnsi="Arial" w:cs="Arial"/>
          <w:color w:val="365F91" w:themeColor="accent1" w:themeShade="BF"/>
          <w:lang w:val="en-GB" w:eastAsia="en-GB"/>
        </w:rPr>
      </w:pPr>
      <w:r w:rsidRPr="0055204E">
        <w:rPr>
          <w:rFonts w:ascii="Arial" w:hAnsi="Arial" w:cs="Arial"/>
          <w:color w:val="365F91" w:themeColor="accent1" w:themeShade="BF"/>
        </w:rPr>
        <w:t>NHS Nottingham and Nottinghamshire ICB directly commission packages of care. Kindly refer to question 1.</w:t>
      </w:r>
    </w:p>
    <w:p w14:paraId="3CCA0BB6" w14:textId="77777777" w:rsidR="00C72740" w:rsidRDefault="00C72740" w:rsidP="00C72740">
      <w:pPr>
        <w:numPr>
          <w:ilvl w:val="0"/>
          <w:numId w:val="10"/>
        </w:numPr>
        <w:spacing w:after="0" w:line="240" w:lineRule="auto"/>
        <w:rPr>
          <w:rFonts w:ascii="Arial" w:eastAsia="Times New Roman" w:hAnsi="Arial" w:cs="Arial"/>
          <w:i/>
          <w:iCs/>
        </w:rPr>
      </w:pPr>
      <w:r>
        <w:rPr>
          <w:rFonts w:ascii="Arial" w:eastAsia="Times New Roman" w:hAnsi="Arial" w:cs="Arial"/>
          <w:i/>
          <w:iCs/>
        </w:rPr>
        <w:t xml:space="preserve">Please provide the contact details (phone number and email) and name of the team within your ICB/LA that refers individuals/ manage the placement contracts/ process for individual packages of support for individuals receiving Complex Care and Support services. Please including both children and adults requiring a package of Complex Care and Support in this and whether it is an all age service or separate, </w:t>
      </w:r>
    </w:p>
    <w:p w14:paraId="50D1B9BC" w14:textId="77777777" w:rsidR="0055204E" w:rsidRPr="0055204E" w:rsidRDefault="0055204E" w:rsidP="0055204E">
      <w:pPr>
        <w:pStyle w:val="ListParagraph"/>
        <w:rPr>
          <w:rFonts w:ascii="Arial" w:hAnsi="Arial" w:cs="Arial"/>
          <w:color w:val="00B050"/>
          <w:lang w:val="en-GB" w:eastAsia="en-GB"/>
        </w:rPr>
      </w:pPr>
    </w:p>
    <w:p w14:paraId="3ACE00A1" w14:textId="2F3652C3" w:rsidR="0055204E" w:rsidRDefault="0055204E" w:rsidP="0055204E">
      <w:pPr>
        <w:pStyle w:val="ListParagraph"/>
        <w:rPr>
          <w:rFonts w:ascii="Arial" w:hAnsi="Arial" w:cs="Arial"/>
          <w:color w:val="365F91" w:themeColor="accent1" w:themeShade="BF"/>
        </w:rPr>
      </w:pPr>
      <w:r w:rsidRPr="0055204E">
        <w:rPr>
          <w:rFonts w:ascii="Arial" w:hAnsi="Arial" w:cs="Arial"/>
          <w:color w:val="365F91" w:themeColor="accent1" w:themeShade="BF"/>
        </w:rPr>
        <w:t xml:space="preserve">Kindly contact the CHC Team’s generic email address on  </w:t>
      </w:r>
      <w:hyperlink r:id="rId11" w:history="1">
        <w:r w:rsidRPr="0055204E">
          <w:rPr>
            <w:rStyle w:val="Hyperlink"/>
            <w:rFonts w:ascii="Arial" w:hAnsi="Arial" w:cs="Arial"/>
            <w:color w:val="365F91" w:themeColor="accent1" w:themeShade="BF"/>
          </w:rPr>
          <w:t>nnicb-nn.chcteam@nhs.net</w:t>
        </w:r>
      </w:hyperlink>
      <w:r w:rsidRPr="0055204E">
        <w:rPr>
          <w:rFonts w:ascii="Arial" w:hAnsi="Arial" w:cs="Arial"/>
          <w:color w:val="365F91" w:themeColor="accent1" w:themeShade="BF"/>
        </w:rPr>
        <w:t> (Nottingham and Nottinghamshire) and  </w:t>
      </w:r>
      <w:hyperlink r:id="rId12" w:history="1">
        <w:r w:rsidRPr="0055204E">
          <w:rPr>
            <w:rStyle w:val="Hyperlink"/>
            <w:rFonts w:ascii="Arial" w:hAnsi="Arial" w:cs="Arial"/>
            <w:color w:val="365F91" w:themeColor="accent1" w:themeShade="BF"/>
          </w:rPr>
          <w:t>nnicb-bassetlaw.chc-office@nhs.net</w:t>
        </w:r>
      </w:hyperlink>
      <w:r w:rsidRPr="0055204E">
        <w:rPr>
          <w:rFonts w:ascii="Arial" w:hAnsi="Arial" w:cs="Arial"/>
          <w:color w:val="365F91" w:themeColor="accent1" w:themeShade="BF"/>
        </w:rPr>
        <w:t xml:space="preserve"> (Bassetlaw) and your query will be forwarded to the relevant team.</w:t>
      </w:r>
    </w:p>
    <w:p w14:paraId="5211D6AF" w14:textId="77777777" w:rsidR="0055204E" w:rsidRPr="0055204E" w:rsidRDefault="0055204E" w:rsidP="0055204E">
      <w:pPr>
        <w:pStyle w:val="ListParagraph"/>
        <w:rPr>
          <w:rFonts w:ascii="Arial" w:hAnsi="Arial" w:cs="Arial"/>
          <w:color w:val="365F91" w:themeColor="accent1" w:themeShade="BF"/>
          <w:lang w:val="en-GB" w:eastAsia="en-GB"/>
        </w:rPr>
      </w:pPr>
    </w:p>
    <w:p w14:paraId="0B98303E" w14:textId="65C0B737" w:rsidR="0055204E" w:rsidRPr="0055204E" w:rsidRDefault="00C72740" w:rsidP="00C72740">
      <w:pPr>
        <w:pStyle w:val="ListParagraph"/>
        <w:numPr>
          <w:ilvl w:val="0"/>
          <w:numId w:val="10"/>
        </w:numPr>
        <w:spacing w:after="0" w:line="240" w:lineRule="auto"/>
        <w:contextualSpacing w:val="0"/>
        <w:rPr>
          <w:rFonts w:eastAsia="Times New Roman"/>
          <w:i/>
          <w:iCs/>
          <w:lang w:eastAsia="en-GB"/>
        </w:rPr>
      </w:pPr>
      <w:r>
        <w:rPr>
          <w:rFonts w:ascii="Arial" w:eastAsia="Times New Roman" w:hAnsi="Arial" w:cs="Arial"/>
          <w:i/>
          <w:iCs/>
          <w:lang w:eastAsia="en-GB"/>
        </w:rPr>
        <w:lastRenderedPageBreak/>
        <w:t xml:space="preserve">Please provide us of the details of any block contract arrangements you currently hold for </w:t>
      </w:r>
      <w:r>
        <w:rPr>
          <w:rFonts w:ascii="Arial" w:eastAsia="Times New Roman" w:hAnsi="Arial" w:cs="Arial"/>
          <w:i/>
          <w:iCs/>
        </w:rPr>
        <w:t>Complex Care and Support Services including Spinal Care Services</w:t>
      </w:r>
      <w:r>
        <w:rPr>
          <w:rFonts w:ascii="Arial" w:eastAsia="Times New Roman" w:hAnsi="Arial" w:cs="Arial"/>
          <w:i/>
          <w:iCs/>
          <w:lang w:eastAsia="en-GB"/>
        </w:rPr>
        <w:t xml:space="preserve"> within your ICB/LA area.</w:t>
      </w:r>
    </w:p>
    <w:p w14:paraId="2D419D03" w14:textId="77777777" w:rsidR="0055204E" w:rsidRPr="0055204E" w:rsidRDefault="0055204E" w:rsidP="0055204E">
      <w:pPr>
        <w:pStyle w:val="ListParagraph"/>
        <w:spacing w:after="0" w:line="240" w:lineRule="auto"/>
        <w:contextualSpacing w:val="0"/>
        <w:rPr>
          <w:rFonts w:eastAsia="Times New Roman"/>
          <w:i/>
          <w:iCs/>
          <w:lang w:eastAsia="en-GB"/>
        </w:rPr>
      </w:pPr>
    </w:p>
    <w:p w14:paraId="277C78CE" w14:textId="77777777" w:rsidR="0055204E" w:rsidRPr="0055204E" w:rsidRDefault="0055204E" w:rsidP="0055204E">
      <w:pPr>
        <w:pStyle w:val="ListParagraph"/>
        <w:rPr>
          <w:rFonts w:ascii="Arial" w:hAnsi="Arial" w:cs="Arial"/>
          <w:color w:val="00B050"/>
          <w:lang w:val="en-GB"/>
        </w:rPr>
      </w:pPr>
      <w:r w:rsidRPr="0055204E">
        <w:rPr>
          <w:rFonts w:ascii="Arial" w:hAnsi="Arial" w:cs="Arial"/>
          <w:color w:val="365F91" w:themeColor="accent1" w:themeShade="BF"/>
        </w:rPr>
        <w:t>NHS Nottingham and Nottinghamshire ICB do not hold any block contract arrangements for complex care and support services including Spinal Care Services</w:t>
      </w:r>
      <w:r w:rsidRPr="0055204E">
        <w:rPr>
          <w:rFonts w:ascii="Arial" w:hAnsi="Arial" w:cs="Arial"/>
          <w:color w:val="00B050"/>
        </w:rPr>
        <w:t>.</w:t>
      </w:r>
    </w:p>
    <w:p w14:paraId="48055421" w14:textId="3E325EEC" w:rsidR="00C72740" w:rsidRPr="0055204E" w:rsidRDefault="00C72740" w:rsidP="0055204E">
      <w:pPr>
        <w:pStyle w:val="ListParagraph"/>
        <w:spacing w:after="0" w:line="240" w:lineRule="auto"/>
        <w:contextualSpacing w:val="0"/>
        <w:rPr>
          <w:rFonts w:eastAsia="Times New Roman"/>
          <w:i/>
          <w:iCs/>
          <w:lang w:eastAsia="en-GB"/>
        </w:rPr>
      </w:pPr>
      <w:r>
        <w:rPr>
          <w:rFonts w:ascii="Arial" w:eastAsia="Times New Roman" w:hAnsi="Arial" w:cs="Arial"/>
          <w:i/>
          <w:iCs/>
          <w:lang w:eastAsia="en-GB"/>
        </w:rPr>
        <w:t xml:space="preserve"> </w:t>
      </w:r>
    </w:p>
    <w:p w14:paraId="3206B7AD" w14:textId="1900CF0B" w:rsidR="009B6427" w:rsidRPr="009B6427" w:rsidRDefault="009B6427" w:rsidP="009B6427">
      <w:pPr>
        <w:spacing w:after="120"/>
        <w:rPr>
          <w:rFonts w:ascii="Arial" w:eastAsiaTheme="minorEastAsia" w:hAnsi="Arial" w:cs="Arial"/>
          <w:noProof/>
          <w:shd w:val="clear" w:color="auto" w:fill="FFFFFF"/>
          <w:lang w:eastAsia="en-GB"/>
        </w:rPr>
      </w:pPr>
      <w:r w:rsidRPr="009B6427">
        <w:rPr>
          <w:rFonts w:ascii="Arial" w:hAnsi="Arial" w:cs="Arial"/>
        </w:rPr>
        <w:t>If you are unhappy with the way in which your request has been handled, NHS Nottingham and Nottinghamshire Integrated Care Board (ICB) have an internal review procedure through which you can raise any concerns you might have. Further details of this procedure can be obtained by contacting Lucy Branson, Associate Director of Governance via</w:t>
      </w:r>
      <w:r w:rsidRPr="009B6427">
        <w:rPr>
          <w:rFonts w:ascii="Arial" w:hAnsi="Arial" w:cs="Arial"/>
          <w:color w:val="FF0000"/>
        </w:rPr>
        <w:t xml:space="preserve"> </w:t>
      </w:r>
      <w:hyperlink r:id="rId13" w:history="1">
        <w:r w:rsidRPr="009B6427">
          <w:rPr>
            <w:rStyle w:val="Hyperlink"/>
            <w:rFonts w:ascii="Arial" w:hAnsi="Arial" w:cs="Arial"/>
          </w:rPr>
          <w:t>lucy.branson@nhs.net</w:t>
        </w:r>
      </w:hyperlink>
      <w:r w:rsidRPr="009B6427">
        <w:rPr>
          <w:rFonts w:ascii="Arial" w:hAnsi="Arial" w:cs="Arial"/>
        </w:rPr>
        <w:t xml:space="preserve"> or by writing to </w:t>
      </w:r>
      <w:r>
        <w:rPr>
          <w:rFonts w:ascii="Arial" w:hAnsi="Arial" w:cs="Arial"/>
        </w:rPr>
        <w:t xml:space="preserve">FOI Team at </w:t>
      </w:r>
      <w:r w:rsidRPr="009B6427">
        <w:rPr>
          <w:rFonts w:ascii="Arial" w:hAnsi="Arial" w:cs="Arial"/>
        </w:rPr>
        <w:t xml:space="preserve">NHS Nottingham and Nottinghamshire ICB, </w:t>
      </w:r>
      <w:r w:rsidRPr="009B6427">
        <w:rPr>
          <w:rFonts w:ascii="Arial" w:eastAsiaTheme="minorEastAsia" w:hAnsi="Arial" w:cs="Arial"/>
          <w:noProof/>
          <w:shd w:val="clear" w:color="auto" w:fill="FFFFFF"/>
          <w:lang w:eastAsia="en-GB"/>
        </w:rPr>
        <w:t>Sir John Robinson House, Sir John Robinson Way, Arnold, Daybrook, Nottingham</w:t>
      </w:r>
      <w:r w:rsidR="003F3EBC">
        <w:rPr>
          <w:rFonts w:ascii="Arial" w:eastAsiaTheme="minorEastAsia" w:hAnsi="Arial" w:cs="Arial"/>
          <w:noProof/>
          <w:shd w:val="clear" w:color="auto" w:fill="FFFFFF"/>
          <w:lang w:eastAsia="en-GB"/>
        </w:rPr>
        <w:t>,</w:t>
      </w:r>
      <w:r w:rsidRPr="009B6427">
        <w:rPr>
          <w:rFonts w:ascii="Arial" w:eastAsiaTheme="minorEastAsia" w:hAnsi="Arial" w:cs="Arial"/>
          <w:noProof/>
          <w:shd w:val="clear" w:color="auto" w:fill="FFFFFF"/>
          <w:lang w:eastAsia="en-GB"/>
        </w:rPr>
        <w:t xml:space="preserve"> NG5 6DA.</w:t>
      </w:r>
    </w:p>
    <w:p w14:paraId="46C13686" w14:textId="79EAAB4F" w:rsidR="009B6427" w:rsidRPr="009B6427" w:rsidRDefault="009B6427" w:rsidP="009B6427">
      <w:pPr>
        <w:spacing w:after="120"/>
        <w:rPr>
          <w:rStyle w:val="Hyperlink"/>
          <w:rFonts w:ascii="Arial" w:hAnsi="Arial" w:cs="Arial"/>
          <w:b/>
        </w:rPr>
      </w:pPr>
      <w:r w:rsidRPr="009B6427">
        <w:rPr>
          <w:rFonts w:ascii="Arial" w:hAnsi="Arial" w:cs="Arial"/>
        </w:rPr>
        <w:t xml:space="preserve">If you remain dissatisfied with the outcome of the internal review, you can apply to the Information Commissioner’s Office (ICO), who will consider whether the organisation has complied with its obligations under the Act and can require the organisation to remedy any problems. Generally, the ICO cannot make a decision unless you have exhausted the complaints procedure provided by NHS Nottingham and Nottinghamshire ICB. You can find out more about how to do this, and about the Act in general, on the Information Commissioner’s Office website at: </w:t>
      </w:r>
      <w:hyperlink r:id="rId14" w:history="1">
        <w:r w:rsidRPr="009B6427">
          <w:rPr>
            <w:rStyle w:val="Hyperlink"/>
            <w:rFonts w:ascii="Arial" w:hAnsi="Arial" w:cs="Arial"/>
          </w:rPr>
          <w:t>https://ico.org.uk/for-the-public/</w:t>
        </w:r>
      </w:hyperlink>
    </w:p>
    <w:p w14:paraId="7D5581E0" w14:textId="77777777" w:rsidR="009B6427" w:rsidRP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Complaints to the Information Commissioner’s Office should be sent to: </w:t>
      </w:r>
    </w:p>
    <w:p w14:paraId="54646E5A" w14:textId="5FABDCA5" w:rsid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FOI/EIR Complaints Resolution, Information Commissioner’s Office, Wycliffe House, Water Lane, Wilmslow, Cheshire, SK9 5AF. Telephone 0303 123 1113 or report a concern via </w:t>
      </w:r>
      <w:hyperlink r:id="rId15" w:history="1">
        <w:r w:rsidRPr="009B6427">
          <w:rPr>
            <w:rStyle w:val="Hyperlink"/>
            <w:rFonts w:cs="Arial"/>
            <w:b w:val="0"/>
            <w:sz w:val="22"/>
            <w:szCs w:val="22"/>
          </w:rPr>
          <w:t>https://ico.org.uk/concerns/</w:t>
        </w:r>
      </w:hyperlink>
      <w:r w:rsidRPr="009B6427">
        <w:rPr>
          <w:rFonts w:cs="Arial"/>
          <w:b w:val="0"/>
          <w:sz w:val="22"/>
          <w:szCs w:val="22"/>
        </w:rPr>
        <w:t xml:space="preserve">  </w:t>
      </w:r>
    </w:p>
    <w:p w14:paraId="5F3CA278" w14:textId="3431D174" w:rsidR="00063A42" w:rsidRDefault="00063A42" w:rsidP="00063A42">
      <w:pPr>
        <w:rPr>
          <w:lang w:val="en-GB"/>
        </w:rPr>
      </w:pPr>
    </w:p>
    <w:p w14:paraId="1F0D0864" w14:textId="77777777" w:rsidR="00063A42" w:rsidRPr="00502130" w:rsidRDefault="00063A42" w:rsidP="00063A42">
      <w:pPr>
        <w:adjustRightInd w:val="0"/>
        <w:spacing w:after="120"/>
        <w:rPr>
          <w:rFonts w:ascii="Arial" w:hAnsi="Arial" w:cs="Arial"/>
          <w:color w:val="000000"/>
        </w:rPr>
      </w:pPr>
      <w:r w:rsidRPr="00502130">
        <w:rPr>
          <w:rFonts w:ascii="Arial" w:hAnsi="Arial" w:cs="Arial"/>
          <w:color w:val="000000"/>
        </w:rPr>
        <w:t>Yours sincerely</w:t>
      </w:r>
    </w:p>
    <w:p w14:paraId="52079CE6" w14:textId="77777777" w:rsidR="00063A42" w:rsidRPr="00502130" w:rsidRDefault="00063A42" w:rsidP="00063A42">
      <w:pPr>
        <w:spacing w:after="120"/>
        <w:rPr>
          <w:rFonts w:ascii="Arial" w:hAnsi="Arial" w:cs="Arial"/>
          <w:i/>
          <w:noProof/>
        </w:rPr>
      </w:pPr>
      <w:r w:rsidRPr="00502130">
        <w:rPr>
          <w:rFonts w:ascii="Arial" w:hAnsi="Arial" w:cs="Arial"/>
          <w:color w:val="000000"/>
        </w:rPr>
        <w:t xml:space="preserve">Freedom of Information </w:t>
      </w:r>
      <w:r>
        <w:rPr>
          <w:rFonts w:ascii="Arial" w:hAnsi="Arial" w:cs="Arial"/>
          <w:color w:val="000000"/>
        </w:rPr>
        <w:t xml:space="preserve">(FOI) </w:t>
      </w:r>
      <w:r w:rsidRPr="00502130">
        <w:rPr>
          <w:rFonts w:ascii="Arial" w:hAnsi="Arial" w:cs="Arial"/>
          <w:color w:val="000000"/>
        </w:rPr>
        <w:t>Officer</w:t>
      </w:r>
      <w:r w:rsidRPr="00502130">
        <w:rPr>
          <w:rFonts w:ascii="Arial" w:hAnsi="Arial" w:cs="Arial"/>
          <w:b/>
          <w:color w:val="000000"/>
        </w:rPr>
        <w:t xml:space="preserve"> </w:t>
      </w:r>
      <w:r w:rsidRPr="00502130">
        <w:rPr>
          <w:rFonts w:ascii="Arial" w:hAnsi="Arial" w:cs="Arial"/>
          <w:color w:val="000000"/>
        </w:rPr>
        <w:t xml:space="preserve">on behalf of </w:t>
      </w:r>
      <w:r w:rsidRPr="00502130">
        <w:rPr>
          <w:rFonts w:ascii="Arial" w:hAnsi="Arial" w:cs="Arial"/>
          <w:i/>
          <w:color w:val="000000"/>
        </w:rPr>
        <w:t xml:space="preserve">NHS Nottingham and Nottinghamshire </w:t>
      </w:r>
      <w:r>
        <w:rPr>
          <w:rFonts w:ascii="Arial" w:hAnsi="Arial" w:cs="Arial"/>
          <w:i/>
          <w:color w:val="000000"/>
        </w:rPr>
        <w:t>Integrated Care Board</w:t>
      </w:r>
    </w:p>
    <w:p w14:paraId="091B02B8" w14:textId="77777777" w:rsidR="00063A42" w:rsidRPr="00502130" w:rsidRDefault="00D83213" w:rsidP="00063A42">
      <w:pPr>
        <w:spacing w:after="120"/>
        <w:rPr>
          <w:rFonts w:ascii="Arial" w:hAnsi="Arial" w:cs="Arial"/>
        </w:rPr>
      </w:pPr>
      <w:hyperlink r:id="rId16" w:history="1">
        <w:r w:rsidR="00063A42" w:rsidRPr="007628C1">
          <w:rPr>
            <w:rStyle w:val="Hyperlink"/>
            <w:rFonts w:ascii="Arial" w:hAnsi="Arial" w:cs="Arial"/>
          </w:rPr>
          <w:t>notts.foi@nhs.net</w:t>
        </w:r>
      </w:hyperlink>
    </w:p>
    <w:p w14:paraId="763D0C47" w14:textId="77777777" w:rsidR="00063A42" w:rsidRPr="00063A42" w:rsidRDefault="00063A42" w:rsidP="00063A42">
      <w:pPr>
        <w:rPr>
          <w:lang w:val="en-GB"/>
        </w:rPr>
      </w:pPr>
    </w:p>
    <w:p w14:paraId="0E2B6678" w14:textId="77777777" w:rsidR="009B6427" w:rsidRPr="009B6427" w:rsidRDefault="009B6427" w:rsidP="009B6427">
      <w:pPr>
        <w:spacing w:after="120"/>
        <w:rPr>
          <w:rFonts w:ascii="Arial" w:hAnsi="Arial" w:cs="Arial"/>
          <w:i/>
        </w:rPr>
      </w:pPr>
    </w:p>
    <w:p w14:paraId="0AB3662D" w14:textId="73CAD918" w:rsidR="00207C11" w:rsidRPr="009B6427" w:rsidRDefault="00207C11" w:rsidP="009B6427">
      <w:pPr>
        <w:spacing w:after="120"/>
        <w:rPr>
          <w:rFonts w:ascii="Arial" w:hAnsi="Arial" w:cs="Arial"/>
          <w:color w:val="000000"/>
          <w:sz w:val="20"/>
          <w:szCs w:val="20"/>
        </w:rPr>
      </w:pPr>
      <w:r w:rsidRPr="009B6427">
        <w:rPr>
          <w:rFonts w:ascii="Arial" w:hAnsi="Arial" w:cs="Arial"/>
          <w:i/>
          <w:iCs/>
          <w:color w:val="000000"/>
          <w:sz w:val="20"/>
          <w:szCs w:val="20"/>
        </w:rPr>
        <w:t xml:space="preserve">All information we have provided is subject to the provisions of the Re-use of Public Sector Information Regulations 2015. Accordingly, if the information has been made available for re-use under the </w:t>
      </w:r>
      <w:hyperlink r:id="rId17" w:history="1">
        <w:r w:rsidRPr="009B6427">
          <w:rPr>
            <w:rStyle w:val="Hyperlink"/>
            <w:rFonts w:ascii="Arial" w:hAnsi="Arial" w:cs="Arial"/>
            <w:i/>
            <w:iCs/>
            <w:sz w:val="20"/>
            <w:szCs w:val="20"/>
          </w:rPr>
          <w:t>Open Government Licence</w:t>
        </w:r>
      </w:hyperlink>
      <w:r w:rsidRPr="009B6427">
        <w:rPr>
          <w:rFonts w:ascii="Arial" w:hAnsi="Arial" w:cs="Arial"/>
          <w:i/>
          <w:iCs/>
          <w:color w:val="000000"/>
          <w:sz w:val="20"/>
          <w:szCs w:val="20"/>
        </w:rPr>
        <w:t xml:space="preserve"> (OGL) a request to re-use is not required, but the license conditions must be met. You </w:t>
      </w:r>
      <w:r w:rsidRPr="009B6427">
        <w:rPr>
          <w:rFonts w:ascii="Arial" w:hAnsi="Arial" w:cs="Arial"/>
          <w:i/>
          <w:iCs/>
          <w:color w:val="000000"/>
          <w:sz w:val="20"/>
          <w:szCs w:val="20"/>
          <w:u w:val="single"/>
        </w:rPr>
        <w:t>must</w:t>
      </w:r>
      <w:r w:rsidRPr="009B6427">
        <w:rPr>
          <w:rFonts w:ascii="Arial" w:hAnsi="Arial" w:cs="Arial"/>
          <w:i/>
          <w:iCs/>
          <w:color w:val="000000"/>
          <w:sz w:val="20"/>
          <w:szCs w:val="20"/>
        </w:rPr>
        <w:t xml:space="preserve"> not re-use any previously unreleased information without having the consent of </w:t>
      </w:r>
      <w:r w:rsidR="001A51A8" w:rsidRPr="009B6427">
        <w:rPr>
          <w:rFonts w:ascii="Arial" w:hAnsi="Arial" w:cs="Arial"/>
          <w:i/>
          <w:iCs/>
          <w:color w:val="000000"/>
          <w:sz w:val="20"/>
          <w:szCs w:val="20"/>
        </w:rPr>
        <w:t xml:space="preserve">NHS Nottingham and Nottinghamshire </w:t>
      </w:r>
      <w:r w:rsidR="00FB5BA7" w:rsidRPr="009B6427">
        <w:rPr>
          <w:rFonts w:ascii="Arial" w:hAnsi="Arial" w:cs="Arial"/>
          <w:i/>
          <w:iCs/>
          <w:color w:val="000000"/>
          <w:sz w:val="20"/>
          <w:szCs w:val="20"/>
        </w:rPr>
        <w:t>Integrated Care Board</w:t>
      </w:r>
      <w:r w:rsidRPr="009B6427">
        <w:rPr>
          <w:rFonts w:ascii="Arial" w:hAnsi="Arial" w:cs="Arial"/>
          <w:i/>
          <w:iCs/>
          <w:color w:val="000000"/>
          <w:sz w:val="20"/>
          <w:szCs w:val="20"/>
        </w:rPr>
        <w:t xml:space="preserve">. Should you wish to re-use previously unreleased information then you must make your request in writing (email will suffice) to the FOI Lead via </w:t>
      </w:r>
      <w:hyperlink r:id="rId18" w:history="1">
        <w:r w:rsidR="00E96F8C" w:rsidRPr="009B6427">
          <w:rPr>
            <w:rStyle w:val="Hyperlink"/>
            <w:rFonts w:ascii="Arial" w:hAnsi="Arial" w:cs="Arial"/>
            <w:i/>
            <w:sz w:val="20"/>
            <w:szCs w:val="20"/>
          </w:rPr>
          <w:t>notts.foi@nhs.net</w:t>
        </w:r>
      </w:hyperlink>
      <w:r w:rsidR="00E96F8C" w:rsidRPr="009B6427">
        <w:rPr>
          <w:rFonts w:ascii="Arial" w:hAnsi="Arial" w:cs="Arial"/>
          <w:sz w:val="20"/>
          <w:szCs w:val="20"/>
        </w:rPr>
        <w:t>.</w:t>
      </w:r>
      <w:r w:rsidRPr="009B6427">
        <w:rPr>
          <w:rFonts w:ascii="Arial" w:hAnsi="Arial" w:cs="Arial"/>
          <w:i/>
          <w:iCs/>
          <w:color w:val="000000"/>
          <w:sz w:val="20"/>
          <w:szCs w:val="20"/>
        </w:rPr>
        <w:t xml:space="preserve"> All requests for re-use will be responded to within 20 working days of receipt. </w:t>
      </w:r>
    </w:p>
    <w:p w14:paraId="1F637423" w14:textId="77777777" w:rsidR="008974BB" w:rsidRPr="00502130" w:rsidRDefault="008974BB" w:rsidP="00207C11">
      <w:pPr>
        <w:rPr>
          <w:rFonts w:ascii="Arial" w:hAnsi="Arial" w:cs="Arial"/>
          <w:i/>
          <w:color w:val="17375E"/>
          <w:u w:val="single"/>
        </w:rPr>
      </w:pPr>
    </w:p>
    <w:sectPr w:rsidR="008974BB" w:rsidRPr="00502130" w:rsidSect="005E522A">
      <w:headerReference w:type="first" r:id="rId19"/>
      <w:pgSz w:w="12240" w:h="15840"/>
      <w:pgMar w:top="737" w:right="964" w:bottom="510" w:left="964" w:header="720" w:footer="16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FBF6" w14:textId="77777777" w:rsidR="00843C9B" w:rsidRDefault="00843C9B" w:rsidP="004D447A">
      <w:pPr>
        <w:spacing w:after="0" w:line="240" w:lineRule="auto"/>
      </w:pPr>
      <w:r>
        <w:separator/>
      </w:r>
    </w:p>
  </w:endnote>
  <w:endnote w:type="continuationSeparator" w:id="0">
    <w:p w14:paraId="37C3FF14" w14:textId="77777777" w:rsidR="00843C9B" w:rsidRDefault="00843C9B" w:rsidP="004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D99F" w14:textId="77777777" w:rsidR="00843C9B" w:rsidRDefault="00843C9B" w:rsidP="004D447A">
      <w:pPr>
        <w:spacing w:after="0" w:line="240" w:lineRule="auto"/>
      </w:pPr>
      <w:r>
        <w:separator/>
      </w:r>
    </w:p>
  </w:footnote>
  <w:footnote w:type="continuationSeparator" w:id="0">
    <w:p w14:paraId="485AB1B9" w14:textId="77777777" w:rsidR="00843C9B" w:rsidRDefault="00843C9B" w:rsidP="004D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E4C" w14:textId="055D2530" w:rsidR="009B6427" w:rsidRPr="009B6427" w:rsidRDefault="009B6427" w:rsidP="009B6427">
    <w:pPr>
      <w:pStyle w:val="Header"/>
    </w:pPr>
    <w:r w:rsidRPr="009B64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1B9"/>
    <w:multiLevelType w:val="multilevel"/>
    <w:tmpl w:val="2DA8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A25BE4"/>
    <w:multiLevelType w:val="multilevel"/>
    <w:tmpl w:val="DF820CA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1D155FE7"/>
    <w:multiLevelType w:val="multilevel"/>
    <w:tmpl w:val="6EBCB1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D636A6"/>
    <w:multiLevelType w:val="multilevel"/>
    <w:tmpl w:val="CA640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683242"/>
    <w:multiLevelType w:val="multilevel"/>
    <w:tmpl w:val="7FF8C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44D359C"/>
    <w:multiLevelType w:val="hybridMultilevel"/>
    <w:tmpl w:val="83D885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E0783"/>
    <w:multiLevelType w:val="hybridMultilevel"/>
    <w:tmpl w:val="94B0B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7A2AEF"/>
    <w:multiLevelType w:val="hybridMultilevel"/>
    <w:tmpl w:val="89144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6914E2"/>
    <w:multiLevelType w:val="multilevel"/>
    <w:tmpl w:val="7FF8C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632A3A"/>
    <w:multiLevelType w:val="hybridMultilevel"/>
    <w:tmpl w:val="53E8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615CD"/>
    <w:multiLevelType w:val="multilevel"/>
    <w:tmpl w:val="3E02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63381A"/>
    <w:multiLevelType w:val="multilevel"/>
    <w:tmpl w:val="2FBC8C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D6135AB"/>
    <w:multiLevelType w:val="hybridMultilevel"/>
    <w:tmpl w:val="2E7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7A"/>
    <w:rsid w:val="00010986"/>
    <w:rsid w:val="00014385"/>
    <w:rsid w:val="00063A42"/>
    <w:rsid w:val="000A5876"/>
    <w:rsid w:val="000A69DA"/>
    <w:rsid w:val="000D20CF"/>
    <w:rsid w:val="000F6367"/>
    <w:rsid w:val="00191F48"/>
    <w:rsid w:val="001975A6"/>
    <w:rsid w:val="001A250E"/>
    <w:rsid w:val="001A51A8"/>
    <w:rsid w:val="001E0D14"/>
    <w:rsid w:val="001F6F1D"/>
    <w:rsid w:val="00207C11"/>
    <w:rsid w:val="0021390F"/>
    <w:rsid w:val="00244548"/>
    <w:rsid w:val="0025784A"/>
    <w:rsid w:val="00291E4F"/>
    <w:rsid w:val="00314F38"/>
    <w:rsid w:val="0032410C"/>
    <w:rsid w:val="00334C0B"/>
    <w:rsid w:val="00367B7D"/>
    <w:rsid w:val="003855FB"/>
    <w:rsid w:val="003D403B"/>
    <w:rsid w:val="003E4358"/>
    <w:rsid w:val="003F3EBC"/>
    <w:rsid w:val="004208FF"/>
    <w:rsid w:val="00436D61"/>
    <w:rsid w:val="0045015F"/>
    <w:rsid w:val="00471CE9"/>
    <w:rsid w:val="00476961"/>
    <w:rsid w:val="0048219C"/>
    <w:rsid w:val="00494C39"/>
    <w:rsid w:val="004A2648"/>
    <w:rsid w:val="004C36AD"/>
    <w:rsid w:val="004D447A"/>
    <w:rsid w:val="004E12C7"/>
    <w:rsid w:val="00502130"/>
    <w:rsid w:val="00507646"/>
    <w:rsid w:val="0050779C"/>
    <w:rsid w:val="00510652"/>
    <w:rsid w:val="0055204E"/>
    <w:rsid w:val="00583BCE"/>
    <w:rsid w:val="005E2905"/>
    <w:rsid w:val="005E522A"/>
    <w:rsid w:val="005F0226"/>
    <w:rsid w:val="005F0CE1"/>
    <w:rsid w:val="00612999"/>
    <w:rsid w:val="00630961"/>
    <w:rsid w:val="006347B6"/>
    <w:rsid w:val="0064623B"/>
    <w:rsid w:val="00650F02"/>
    <w:rsid w:val="00652C04"/>
    <w:rsid w:val="00661193"/>
    <w:rsid w:val="0067459A"/>
    <w:rsid w:val="006824D2"/>
    <w:rsid w:val="00693295"/>
    <w:rsid w:val="0069610C"/>
    <w:rsid w:val="006A4B49"/>
    <w:rsid w:val="006B4A05"/>
    <w:rsid w:val="006C24F9"/>
    <w:rsid w:val="006D5397"/>
    <w:rsid w:val="006E109E"/>
    <w:rsid w:val="00711BA0"/>
    <w:rsid w:val="007628C1"/>
    <w:rsid w:val="00785586"/>
    <w:rsid w:val="007879AC"/>
    <w:rsid w:val="0079498C"/>
    <w:rsid w:val="007B609B"/>
    <w:rsid w:val="007D7A8F"/>
    <w:rsid w:val="00802E35"/>
    <w:rsid w:val="008049D5"/>
    <w:rsid w:val="00830693"/>
    <w:rsid w:val="00830C2E"/>
    <w:rsid w:val="00833C85"/>
    <w:rsid w:val="00843C9B"/>
    <w:rsid w:val="008445A4"/>
    <w:rsid w:val="00844ACB"/>
    <w:rsid w:val="00866107"/>
    <w:rsid w:val="00886658"/>
    <w:rsid w:val="008974BB"/>
    <w:rsid w:val="00897C8A"/>
    <w:rsid w:val="008B071F"/>
    <w:rsid w:val="008D0F56"/>
    <w:rsid w:val="0090062A"/>
    <w:rsid w:val="00903DA5"/>
    <w:rsid w:val="009125C1"/>
    <w:rsid w:val="00922623"/>
    <w:rsid w:val="00922C62"/>
    <w:rsid w:val="00973913"/>
    <w:rsid w:val="00991D7A"/>
    <w:rsid w:val="009947C4"/>
    <w:rsid w:val="009B01BA"/>
    <w:rsid w:val="009B6427"/>
    <w:rsid w:val="00A12EF6"/>
    <w:rsid w:val="00A7403D"/>
    <w:rsid w:val="00A82626"/>
    <w:rsid w:val="00AC0ADB"/>
    <w:rsid w:val="00AD5546"/>
    <w:rsid w:val="00AD7A97"/>
    <w:rsid w:val="00AE0D90"/>
    <w:rsid w:val="00B01BD5"/>
    <w:rsid w:val="00B22FD2"/>
    <w:rsid w:val="00B250A0"/>
    <w:rsid w:val="00B57110"/>
    <w:rsid w:val="00B6430A"/>
    <w:rsid w:val="00B84AB2"/>
    <w:rsid w:val="00B84C81"/>
    <w:rsid w:val="00B85A2D"/>
    <w:rsid w:val="00BA4462"/>
    <w:rsid w:val="00BE746D"/>
    <w:rsid w:val="00C37765"/>
    <w:rsid w:val="00C43500"/>
    <w:rsid w:val="00C538AF"/>
    <w:rsid w:val="00C72740"/>
    <w:rsid w:val="00C80F1A"/>
    <w:rsid w:val="00C93A52"/>
    <w:rsid w:val="00C94348"/>
    <w:rsid w:val="00CC3B07"/>
    <w:rsid w:val="00CF3571"/>
    <w:rsid w:val="00D03545"/>
    <w:rsid w:val="00D62E7D"/>
    <w:rsid w:val="00D83213"/>
    <w:rsid w:val="00DB747D"/>
    <w:rsid w:val="00DD19CD"/>
    <w:rsid w:val="00DD78CB"/>
    <w:rsid w:val="00DE5066"/>
    <w:rsid w:val="00DF1384"/>
    <w:rsid w:val="00E6128A"/>
    <w:rsid w:val="00E620A3"/>
    <w:rsid w:val="00E92313"/>
    <w:rsid w:val="00E93878"/>
    <w:rsid w:val="00E9413D"/>
    <w:rsid w:val="00E96F8C"/>
    <w:rsid w:val="00EA3F3B"/>
    <w:rsid w:val="00EB0B6B"/>
    <w:rsid w:val="00EB147B"/>
    <w:rsid w:val="00EC4927"/>
    <w:rsid w:val="00EE14EB"/>
    <w:rsid w:val="00EF0F86"/>
    <w:rsid w:val="00F20634"/>
    <w:rsid w:val="00F307B9"/>
    <w:rsid w:val="00F3293F"/>
    <w:rsid w:val="00F44894"/>
    <w:rsid w:val="00F5108E"/>
    <w:rsid w:val="00F67AD7"/>
    <w:rsid w:val="00F82A7D"/>
    <w:rsid w:val="00F9495C"/>
    <w:rsid w:val="00FA5BC3"/>
    <w:rsid w:val="00FB5BA7"/>
    <w:rsid w:val="00FC23CD"/>
    <w:rsid w:val="00FD30D3"/>
    <w:rsid w:val="00FE4638"/>
    <w:rsid w:val="00FF0414"/>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E9466A6"/>
  <w15:docId w15:val="{2B54693D-BB42-4BF6-A2A2-431C548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13"/>
    <w:pPr>
      <w:spacing w:after="200" w:line="276" w:lineRule="auto"/>
    </w:pPr>
    <w:rPr>
      <w:sz w:val="22"/>
      <w:szCs w:val="22"/>
      <w:lang w:val="en-US" w:eastAsia="en-US"/>
    </w:rPr>
  </w:style>
  <w:style w:type="paragraph" w:styleId="Heading3">
    <w:name w:val="heading 3"/>
    <w:basedOn w:val="Normal"/>
    <w:next w:val="Normal"/>
    <w:link w:val="Heading3Char"/>
    <w:uiPriority w:val="99"/>
    <w:qFormat/>
    <w:locked/>
    <w:rsid w:val="00AE0D90"/>
    <w:pPr>
      <w:keepNext/>
      <w:spacing w:before="40" w:after="0" w:line="240" w:lineRule="auto"/>
      <w:ind w:left="540"/>
      <w:outlineLvl w:val="2"/>
    </w:pPr>
    <w:rPr>
      <w:rFonts w:ascii="Arial" w:hAnsi="Arial"/>
      <w:b/>
      <w:bCs/>
      <w:color w:val="000000"/>
      <w:sz w:val="20"/>
      <w:szCs w:val="24"/>
      <w:lang w:val="en-GB"/>
    </w:rPr>
  </w:style>
  <w:style w:type="paragraph" w:styleId="Heading4">
    <w:name w:val="heading 4"/>
    <w:basedOn w:val="Normal"/>
    <w:next w:val="Normal"/>
    <w:link w:val="Heading4Char"/>
    <w:unhideWhenUsed/>
    <w:qFormat/>
    <w:locked/>
    <w:rsid w:val="00D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447A"/>
    <w:pPr>
      <w:tabs>
        <w:tab w:val="center" w:pos="4680"/>
        <w:tab w:val="right" w:pos="9360"/>
      </w:tabs>
      <w:spacing w:after="0" w:line="240" w:lineRule="auto"/>
    </w:pPr>
  </w:style>
  <w:style w:type="character" w:customStyle="1" w:styleId="HeaderChar">
    <w:name w:val="Header Char"/>
    <w:link w:val="Header"/>
    <w:uiPriority w:val="99"/>
    <w:semiHidden/>
    <w:locked/>
    <w:rsid w:val="004D447A"/>
    <w:rPr>
      <w:rFonts w:cs="Times New Roman"/>
    </w:rPr>
  </w:style>
  <w:style w:type="paragraph" w:styleId="Footer">
    <w:name w:val="footer"/>
    <w:basedOn w:val="Normal"/>
    <w:link w:val="FooterChar"/>
    <w:uiPriority w:val="99"/>
    <w:rsid w:val="004D447A"/>
    <w:pPr>
      <w:tabs>
        <w:tab w:val="center" w:pos="4680"/>
        <w:tab w:val="right" w:pos="9360"/>
      </w:tabs>
      <w:spacing w:after="0" w:line="240" w:lineRule="auto"/>
    </w:pPr>
  </w:style>
  <w:style w:type="character" w:customStyle="1" w:styleId="FooterChar">
    <w:name w:val="Footer Char"/>
    <w:link w:val="Footer"/>
    <w:uiPriority w:val="99"/>
    <w:locked/>
    <w:rsid w:val="004D447A"/>
    <w:rPr>
      <w:rFonts w:cs="Times New Roman"/>
    </w:rPr>
  </w:style>
  <w:style w:type="paragraph" w:styleId="BalloonText">
    <w:name w:val="Balloon Text"/>
    <w:basedOn w:val="Normal"/>
    <w:link w:val="BalloonTextChar"/>
    <w:uiPriority w:val="99"/>
    <w:semiHidden/>
    <w:unhideWhenUsed/>
    <w:rsid w:val="003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F38"/>
    <w:rPr>
      <w:rFonts w:ascii="Tahoma" w:hAnsi="Tahoma" w:cs="Tahoma"/>
      <w:sz w:val="16"/>
      <w:szCs w:val="16"/>
      <w:lang w:val="en-US" w:eastAsia="en-US"/>
    </w:rPr>
  </w:style>
  <w:style w:type="character" w:styleId="Hyperlink">
    <w:name w:val="Hyperlink"/>
    <w:unhideWhenUsed/>
    <w:rsid w:val="00314F38"/>
    <w:rPr>
      <w:color w:val="0000FF"/>
      <w:u w:val="single"/>
    </w:rPr>
  </w:style>
  <w:style w:type="paragraph" w:styleId="ListParagraph">
    <w:name w:val="List Paragraph"/>
    <w:basedOn w:val="Normal"/>
    <w:uiPriority w:val="34"/>
    <w:qFormat/>
    <w:rsid w:val="00922623"/>
    <w:pPr>
      <w:ind w:left="720"/>
      <w:contextualSpacing/>
    </w:pPr>
  </w:style>
  <w:style w:type="character" w:customStyle="1" w:styleId="Heading3Char">
    <w:name w:val="Heading 3 Char"/>
    <w:basedOn w:val="DefaultParagraphFont"/>
    <w:link w:val="Heading3"/>
    <w:uiPriority w:val="99"/>
    <w:rsid w:val="00AE0D90"/>
    <w:rPr>
      <w:rFonts w:ascii="Arial" w:hAnsi="Arial"/>
      <w:b/>
      <w:bCs/>
      <w:color w:val="000000"/>
      <w:szCs w:val="24"/>
      <w:lang w:eastAsia="en-US"/>
    </w:rPr>
  </w:style>
  <w:style w:type="character" w:customStyle="1" w:styleId="Heading4Char">
    <w:name w:val="Heading 4 Char"/>
    <w:basedOn w:val="DefaultParagraphFont"/>
    <w:link w:val="Heading4"/>
    <w:rsid w:val="00DB747D"/>
    <w:rPr>
      <w:rFonts w:asciiTheme="majorHAnsi" w:eastAsiaTheme="majorEastAsia" w:hAnsiTheme="majorHAnsi" w:cstheme="majorBidi"/>
      <w:b/>
      <w:bCs/>
      <w:i/>
      <w:iCs/>
      <w:color w:val="4F81BD" w:themeColor="accent1"/>
      <w:sz w:val="22"/>
      <w:szCs w:val="22"/>
      <w:lang w:val="en-US" w:eastAsia="en-US"/>
    </w:rPr>
  </w:style>
  <w:style w:type="character" w:customStyle="1" w:styleId="xbe">
    <w:name w:val="_xbe"/>
    <w:basedOn w:val="DefaultParagraphFont"/>
    <w:rsid w:val="00693295"/>
  </w:style>
  <w:style w:type="paragraph" w:styleId="NoSpacing">
    <w:name w:val="No Spacing"/>
    <w:uiPriority w:val="1"/>
    <w:qFormat/>
    <w:rsid w:val="000A5876"/>
    <w:rPr>
      <w:sz w:val="22"/>
      <w:szCs w:val="22"/>
      <w:lang w:val="en-US" w:eastAsia="en-US"/>
    </w:rPr>
  </w:style>
  <w:style w:type="character" w:customStyle="1" w:styleId="apple-converted-space">
    <w:name w:val="apple-converted-space"/>
    <w:basedOn w:val="DefaultParagraphFont"/>
    <w:rsid w:val="007879AC"/>
  </w:style>
  <w:style w:type="character" w:styleId="FollowedHyperlink">
    <w:name w:val="FollowedHyperlink"/>
    <w:basedOn w:val="DefaultParagraphFont"/>
    <w:uiPriority w:val="99"/>
    <w:semiHidden/>
    <w:unhideWhenUsed/>
    <w:rsid w:val="00B6430A"/>
    <w:rPr>
      <w:color w:val="800080" w:themeColor="followedHyperlink"/>
      <w:u w:val="single"/>
    </w:rPr>
  </w:style>
  <w:style w:type="paragraph" w:styleId="NormalWeb">
    <w:name w:val="Normal (Web)"/>
    <w:basedOn w:val="Normal"/>
    <w:uiPriority w:val="99"/>
    <w:semiHidden/>
    <w:unhideWhenUsed/>
    <w:rsid w:val="00FA5BC3"/>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PlaceholderText">
    <w:name w:val="Placeholder Text"/>
    <w:basedOn w:val="DefaultParagraphFont"/>
    <w:uiPriority w:val="99"/>
    <w:semiHidden/>
    <w:rsid w:val="00EB147B"/>
    <w:rPr>
      <w:color w:val="808080"/>
    </w:rPr>
  </w:style>
  <w:style w:type="paragraph" w:customStyle="1" w:styleId="ydpb6a3a5bbyiv5026180394ydp13fab1f9yiv5447972728ydpcd53c923yiv9531027265ydp93a69986msonormal">
    <w:name w:val="ydpb6a3a5bbyiv5026180394ydp13fab1f9yiv5447972728ydpcd53c923yiv9531027265ydp93a69986msonormal"/>
    <w:basedOn w:val="Normal"/>
    <w:rsid w:val="00DF1384"/>
    <w:pPr>
      <w:spacing w:before="100" w:beforeAutospacing="1" w:after="100" w:afterAutospacing="1" w:line="240" w:lineRule="auto"/>
    </w:pPr>
    <w:rPr>
      <w:rFonts w:eastAsiaTheme="minorHAns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4888">
      <w:bodyDiv w:val="1"/>
      <w:marLeft w:val="0"/>
      <w:marRight w:val="0"/>
      <w:marTop w:val="0"/>
      <w:marBottom w:val="0"/>
      <w:divBdr>
        <w:top w:val="none" w:sz="0" w:space="0" w:color="auto"/>
        <w:left w:val="none" w:sz="0" w:space="0" w:color="auto"/>
        <w:bottom w:val="none" w:sz="0" w:space="0" w:color="auto"/>
        <w:right w:val="none" w:sz="0" w:space="0" w:color="auto"/>
      </w:divBdr>
    </w:div>
    <w:div w:id="38013641">
      <w:bodyDiv w:val="1"/>
      <w:marLeft w:val="0"/>
      <w:marRight w:val="0"/>
      <w:marTop w:val="0"/>
      <w:marBottom w:val="0"/>
      <w:divBdr>
        <w:top w:val="none" w:sz="0" w:space="0" w:color="auto"/>
        <w:left w:val="none" w:sz="0" w:space="0" w:color="auto"/>
        <w:bottom w:val="none" w:sz="0" w:space="0" w:color="auto"/>
        <w:right w:val="none" w:sz="0" w:space="0" w:color="auto"/>
      </w:divBdr>
    </w:div>
    <w:div w:id="62141876">
      <w:bodyDiv w:val="1"/>
      <w:marLeft w:val="0"/>
      <w:marRight w:val="0"/>
      <w:marTop w:val="0"/>
      <w:marBottom w:val="0"/>
      <w:divBdr>
        <w:top w:val="none" w:sz="0" w:space="0" w:color="auto"/>
        <w:left w:val="none" w:sz="0" w:space="0" w:color="auto"/>
        <w:bottom w:val="none" w:sz="0" w:space="0" w:color="auto"/>
        <w:right w:val="none" w:sz="0" w:space="0" w:color="auto"/>
      </w:divBdr>
    </w:div>
    <w:div w:id="156313595">
      <w:bodyDiv w:val="1"/>
      <w:marLeft w:val="0"/>
      <w:marRight w:val="0"/>
      <w:marTop w:val="0"/>
      <w:marBottom w:val="0"/>
      <w:divBdr>
        <w:top w:val="none" w:sz="0" w:space="0" w:color="auto"/>
        <w:left w:val="none" w:sz="0" w:space="0" w:color="auto"/>
        <w:bottom w:val="none" w:sz="0" w:space="0" w:color="auto"/>
        <w:right w:val="none" w:sz="0" w:space="0" w:color="auto"/>
      </w:divBdr>
    </w:div>
    <w:div w:id="172425463">
      <w:bodyDiv w:val="1"/>
      <w:marLeft w:val="0"/>
      <w:marRight w:val="0"/>
      <w:marTop w:val="0"/>
      <w:marBottom w:val="0"/>
      <w:divBdr>
        <w:top w:val="none" w:sz="0" w:space="0" w:color="auto"/>
        <w:left w:val="none" w:sz="0" w:space="0" w:color="auto"/>
        <w:bottom w:val="none" w:sz="0" w:space="0" w:color="auto"/>
        <w:right w:val="none" w:sz="0" w:space="0" w:color="auto"/>
      </w:divBdr>
    </w:div>
    <w:div w:id="341053171">
      <w:bodyDiv w:val="1"/>
      <w:marLeft w:val="0"/>
      <w:marRight w:val="0"/>
      <w:marTop w:val="0"/>
      <w:marBottom w:val="0"/>
      <w:divBdr>
        <w:top w:val="none" w:sz="0" w:space="0" w:color="auto"/>
        <w:left w:val="none" w:sz="0" w:space="0" w:color="auto"/>
        <w:bottom w:val="none" w:sz="0" w:space="0" w:color="auto"/>
        <w:right w:val="none" w:sz="0" w:space="0" w:color="auto"/>
      </w:divBdr>
    </w:div>
    <w:div w:id="387075931">
      <w:bodyDiv w:val="1"/>
      <w:marLeft w:val="0"/>
      <w:marRight w:val="0"/>
      <w:marTop w:val="0"/>
      <w:marBottom w:val="0"/>
      <w:divBdr>
        <w:top w:val="none" w:sz="0" w:space="0" w:color="auto"/>
        <w:left w:val="none" w:sz="0" w:space="0" w:color="auto"/>
        <w:bottom w:val="none" w:sz="0" w:space="0" w:color="auto"/>
        <w:right w:val="none" w:sz="0" w:space="0" w:color="auto"/>
      </w:divBdr>
    </w:div>
    <w:div w:id="475949056">
      <w:bodyDiv w:val="1"/>
      <w:marLeft w:val="0"/>
      <w:marRight w:val="0"/>
      <w:marTop w:val="0"/>
      <w:marBottom w:val="0"/>
      <w:divBdr>
        <w:top w:val="none" w:sz="0" w:space="0" w:color="auto"/>
        <w:left w:val="none" w:sz="0" w:space="0" w:color="auto"/>
        <w:bottom w:val="none" w:sz="0" w:space="0" w:color="auto"/>
        <w:right w:val="none" w:sz="0" w:space="0" w:color="auto"/>
      </w:divBdr>
    </w:div>
    <w:div w:id="523174274">
      <w:bodyDiv w:val="1"/>
      <w:marLeft w:val="0"/>
      <w:marRight w:val="0"/>
      <w:marTop w:val="0"/>
      <w:marBottom w:val="0"/>
      <w:divBdr>
        <w:top w:val="none" w:sz="0" w:space="0" w:color="auto"/>
        <w:left w:val="none" w:sz="0" w:space="0" w:color="auto"/>
        <w:bottom w:val="none" w:sz="0" w:space="0" w:color="auto"/>
        <w:right w:val="none" w:sz="0" w:space="0" w:color="auto"/>
      </w:divBdr>
    </w:div>
    <w:div w:id="719402638">
      <w:bodyDiv w:val="1"/>
      <w:marLeft w:val="0"/>
      <w:marRight w:val="0"/>
      <w:marTop w:val="0"/>
      <w:marBottom w:val="0"/>
      <w:divBdr>
        <w:top w:val="none" w:sz="0" w:space="0" w:color="auto"/>
        <w:left w:val="none" w:sz="0" w:space="0" w:color="auto"/>
        <w:bottom w:val="none" w:sz="0" w:space="0" w:color="auto"/>
        <w:right w:val="none" w:sz="0" w:space="0" w:color="auto"/>
      </w:divBdr>
    </w:div>
    <w:div w:id="738361190">
      <w:bodyDiv w:val="1"/>
      <w:marLeft w:val="0"/>
      <w:marRight w:val="0"/>
      <w:marTop w:val="0"/>
      <w:marBottom w:val="0"/>
      <w:divBdr>
        <w:top w:val="none" w:sz="0" w:space="0" w:color="auto"/>
        <w:left w:val="none" w:sz="0" w:space="0" w:color="auto"/>
        <w:bottom w:val="none" w:sz="0" w:space="0" w:color="auto"/>
        <w:right w:val="none" w:sz="0" w:space="0" w:color="auto"/>
      </w:divBdr>
    </w:div>
    <w:div w:id="828330597">
      <w:bodyDiv w:val="1"/>
      <w:marLeft w:val="0"/>
      <w:marRight w:val="0"/>
      <w:marTop w:val="0"/>
      <w:marBottom w:val="0"/>
      <w:divBdr>
        <w:top w:val="none" w:sz="0" w:space="0" w:color="auto"/>
        <w:left w:val="none" w:sz="0" w:space="0" w:color="auto"/>
        <w:bottom w:val="none" w:sz="0" w:space="0" w:color="auto"/>
        <w:right w:val="none" w:sz="0" w:space="0" w:color="auto"/>
      </w:divBdr>
    </w:div>
    <w:div w:id="847332375">
      <w:bodyDiv w:val="1"/>
      <w:marLeft w:val="0"/>
      <w:marRight w:val="0"/>
      <w:marTop w:val="0"/>
      <w:marBottom w:val="0"/>
      <w:divBdr>
        <w:top w:val="none" w:sz="0" w:space="0" w:color="auto"/>
        <w:left w:val="none" w:sz="0" w:space="0" w:color="auto"/>
        <w:bottom w:val="none" w:sz="0" w:space="0" w:color="auto"/>
        <w:right w:val="none" w:sz="0" w:space="0" w:color="auto"/>
      </w:divBdr>
    </w:div>
    <w:div w:id="948976152">
      <w:bodyDiv w:val="1"/>
      <w:marLeft w:val="0"/>
      <w:marRight w:val="0"/>
      <w:marTop w:val="0"/>
      <w:marBottom w:val="0"/>
      <w:divBdr>
        <w:top w:val="none" w:sz="0" w:space="0" w:color="auto"/>
        <w:left w:val="none" w:sz="0" w:space="0" w:color="auto"/>
        <w:bottom w:val="none" w:sz="0" w:space="0" w:color="auto"/>
        <w:right w:val="none" w:sz="0" w:space="0" w:color="auto"/>
      </w:divBdr>
    </w:div>
    <w:div w:id="1115519487">
      <w:bodyDiv w:val="1"/>
      <w:marLeft w:val="0"/>
      <w:marRight w:val="0"/>
      <w:marTop w:val="0"/>
      <w:marBottom w:val="0"/>
      <w:divBdr>
        <w:top w:val="none" w:sz="0" w:space="0" w:color="auto"/>
        <w:left w:val="none" w:sz="0" w:space="0" w:color="auto"/>
        <w:bottom w:val="none" w:sz="0" w:space="0" w:color="auto"/>
        <w:right w:val="none" w:sz="0" w:space="0" w:color="auto"/>
      </w:divBdr>
    </w:div>
    <w:div w:id="1117214570">
      <w:bodyDiv w:val="1"/>
      <w:marLeft w:val="0"/>
      <w:marRight w:val="0"/>
      <w:marTop w:val="0"/>
      <w:marBottom w:val="0"/>
      <w:divBdr>
        <w:top w:val="none" w:sz="0" w:space="0" w:color="auto"/>
        <w:left w:val="none" w:sz="0" w:space="0" w:color="auto"/>
        <w:bottom w:val="none" w:sz="0" w:space="0" w:color="auto"/>
        <w:right w:val="none" w:sz="0" w:space="0" w:color="auto"/>
      </w:divBdr>
    </w:div>
    <w:div w:id="1162159590">
      <w:bodyDiv w:val="1"/>
      <w:marLeft w:val="0"/>
      <w:marRight w:val="0"/>
      <w:marTop w:val="0"/>
      <w:marBottom w:val="0"/>
      <w:divBdr>
        <w:top w:val="none" w:sz="0" w:space="0" w:color="auto"/>
        <w:left w:val="none" w:sz="0" w:space="0" w:color="auto"/>
        <w:bottom w:val="none" w:sz="0" w:space="0" w:color="auto"/>
        <w:right w:val="none" w:sz="0" w:space="0" w:color="auto"/>
      </w:divBdr>
    </w:div>
    <w:div w:id="1171529256">
      <w:bodyDiv w:val="1"/>
      <w:marLeft w:val="0"/>
      <w:marRight w:val="0"/>
      <w:marTop w:val="0"/>
      <w:marBottom w:val="0"/>
      <w:divBdr>
        <w:top w:val="none" w:sz="0" w:space="0" w:color="auto"/>
        <w:left w:val="none" w:sz="0" w:space="0" w:color="auto"/>
        <w:bottom w:val="none" w:sz="0" w:space="0" w:color="auto"/>
        <w:right w:val="none" w:sz="0" w:space="0" w:color="auto"/>
      </w:divBdr>
    </w:div>
    <w:div w:id="1330907535">
      <w:bodyDiv w:val="1"/>
      <w:marLeft w:val="0"/>
      <w:marRight w:val="0"/>
      <w:marTop w:val="0"/>
      <w:marBottom w:val="0"/>
      <w:divBdr>
        <w:top w:val="none" w:sz="0" w:space="0" w:color="auto"/>
        <w:left w:val="none" w:sz="0" w:space="0" w:color="auto"/>
        <w:bottom w:val="none" w:sz="0" w:space="0" w:color="auto"/>
        <w:right w:val="none" w:sz="0" w:space="0" w:color="auto"/>
      </w:divBdr>
    </w:div>
    <w:div w:id="1404402576">
      <w:bodyDiv w:val="1"/>
      <w:marLeft w:val="0"/>
      <w:marRight w:val="0"/>
      <w:marTop w:val="0"/>
      <w:marBottom w:val="0"/>
      <w:divBdr>
        <w:top w:val="none" w:sz="0" w:space="0" w:color="auto"/>
        <w:left w:val="none" w:sz="0" w:space="0" w:color="auto"/>
        <w:bottom w:val="none" w:sz="0" w:space="0" w:color="auto"/>
        <w:right w:val="none" w:sz="0" w:space="0" w:color="auto"/>
      </w:divBdr>
    </w:div>
    <w:div w:id="1451167265">
      <w:bodyDiv w:val="1"/>
      <w:marLeft w:val="0"/>
      <w:marRight w:val="0"/>
      <w:marTop w:val="0"/>
      <w:marBottom w:val="0"/>
      <w:divBdr>
        <w:top w:val="none" w:sz="0" w:space="0" w:color="auto"/>
        <w:left w:val="none" w:sz="0" w:space="0" w:color="auto"/>
        <w:bottom w:val="none" w:sz="0" w:space="0" w:color="auto"/>
        <w:right w:val="none" w:sz="0" w:space="0" w:color="auto"/>
      </w:divBdr>
    </w:div>
    <w:div w:id="1657762583">
      <w:bodyDiv w:val="1"/>
      <w:marLeft w:val="0"/>
      <w:marRight w:val="0"/>
      <w:marTop w:val="0"/>
      <w:marBottom w:val="0"/>
      <w:divBdr>
        <w:top w:val="none" w:sz="0" w:space="0" w:color="auto"/>
        <w:left w:val="none" w:sz="0" w:space="0" w:color="auto"/>
        <w:bottom w:val="none" w:sz="0" w:space="0" w:color="auto"/>
        <w:right w:val="none" w:sz="0" w:space="0" w:color="auto"/>
      </w:divBdr>
    </w:div>
    <w:div w:id="1711026605">
      <w:marLeft w:val="0"/>
      <w:marRight w:val="0"/>
      <w:marTop w:val="0"/>
      <w:marBottom w:val="0"/>
      <w:divBdr>
        <w:top w:val="none" w:sz="0" w:space="0" w:color="auto"/>
        <w:left w:val="none" w:sz="0" w:space="0" w:color="auto"/>
        <w:bottom w:val="none" w:sz="0" w:space="0" w:color="auto"/>
        <w:right w:val="none" w:sz="0" w:space="0" w:color="auto"/>
      </w:divBdr>
    </w:div>
    <w:div w:id="1857038898">
      <w:bodyDiv w:val="1"/>
      <w:marLeft w:val="0"/>
      <w:marRight w:val="0"/>
      <w:marTop w:val="0"/>
      <w:marBottom w:val="0"/>
      <w:divBdr>
        <w:top w:val="none" w:sz="0" w:space="0" w:color="auto"/>
        <w:left w:val="none" w:sz="0" w:space="0" w:color="auto"/>
        <w:bottom w:val="none" w:sz="0" w:space="0" w:color="auto"/>
        <w:right w:val="none" w:sz="0" w:space="0" w:color="auto"/>
      </w:divBdr>
    </w:div>
    <w:div w:id="2056855287">
      <w:bodyDiv w:val="1"/>
      <w:marLeft w:val="0"/>
      <w:marRight w:val="0"/>
      <w:marTop w:val="0"/>
      <w:marBottom w:val="0"/>
      <w:divBdr>
        <w:top w:val="none" w:sz="0" w:space="0" w:color="auto"/>
        <w:left w:val="none" w:sz="0" w:space="0" w:color="auto"/>
        <w:bottom w:val="none" w:sz="0" w:space="0" w:color="auto"/>
        <w:right w:val="none" w:sz="0" w:space="0" w:color="auto"/>
      </w:divBdr>
    </w:div>
    <w:div w:id="2059353217">
      <w:bodyDiv w:val="1"/>
      <w:marLeft w:val="0"/>
      <w:marRight w:val="0"/>
      <w:marTop w:val="0"/>
      <w:marBottom w:val="0"/>
      <w:divBdr>
        <w:top w:val="none" w:sz="0" w:space="0" w:color="auto"/>
        <w:left w:val="none" w:sz="0" w:space="0" w:color="auto"/>
        <w:bottom w:val="none" w:sz="0" w:space="0" w:color="auto"/>
        <w:right w:val="none" w:sz="0" w:space="0" w:color="auto"/>
      </w:divBdr>
    </w:div>
    <w:div w:id="2087726221">
      <w:bodyDiv w:val="1"/>
      <w:marLeft w:val="0"/>
      <w:marRight w:val="0"/>
      <w:marTop w:val="0"/>
      <w:marBottom w:val="0"/>
      <w:divBdr>
        <w:top w:val="none" w:sz="0" w:space="0" w:color="auto"/>
        <w:left w:val="none" w:sz="0" w:space="0" w:color="auto"/>
        <w:bottom w:val="none" w:sz="0" w:space="0" w:color="auto"/>
        <w:right w:val="none" w:sz="0" w:space="0" w:color="auto"/>
      </w:divBdr>
    </w:div>
    <w:div w:id="2102295993">
      <w:bodyDiv w:val="1"/>
      <w:marLeft w:val="0"/>
      <w:marRight w:val="0"/>
      <w:marTop w:val="0"/>
      <w:marBottom w:val="0"/>
      <w:divBdr>
        <w:top w:val="none" w:sz="0" w:space="0" w:color="auto"/>
        <w:left w:val="none" w:sz="0" w:space="0" w:color="auto"/>
        <w:bottom w:val="none" w:sz="0" w:space="0" w:color="auto"/>
        <w:right w:val="none" w:sz="0" w:space="0" w:color="auto"/>
      </w:divBdr>
    </w:div>
    <w:div w:id="21158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P.continuingcarenotts@nhs.net" TargetMode="External"/><Relationship Id="rId13" Type="http://schemas.openxmlformats.org/officeDocument/2006/relationships/hyperlink" Target="mailto:lucy.branson@nhs.net" TargetMode="External"/><Relationship Id="rId18" Type="http://schemas.openxmlformats.org/officeDocument/2006/relationships/hyperlink" Target="mailto:notts.foi@nhs.net"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mailto:nnicb-bassetlaw.chc-office@nhs.net" TargetMode="External"/><Relationship Id="rId17" Type="http://schemas.openxmlformats.org/officeDocument/2006/relationships/hyperlink" Target="http://www.nationalarchives.gov.uk/doc/open-government-licence/version/3/" TargetMode="External"/><Relationship Id="rId2" Type="http://schemas.openxmlformats.org/officeDocument/2006/relationships/styles" Target="styles.xml"/><Relationship Id="rId16" Type="http://schemas.openxmlformats.org/officeDocument/2006/relationships/hyperlink" Target="mailto:notts.foi@nh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nicb-nn.chcteam@nhs.net" TargetMode="External"/><Relationship Id="rId5" Type="http://schemas.openxmlformats.org/officeDocument/2006/relationships/footnotes" Target="footnotes.xml"/><Relationship Id="rId15" Type="http://schemas.openxmlformats.org/officeDocument/2006/relationships/hyperlink" Target="https://ico.org.uk/concerns/" TargetMode="External"/><Relationship Id="rId10" Type="http://schemas.openxmlformats.org/officeDocument/2006/relationships/hyperlink" Target="mailto:nnicb-bassetlaw.chc-office@nhs.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nicb-nn.midnottschc@nhs.net" TargetMode="External"/><Relationship Id="rId14" Type="http://schemas.openxmlformats.org/officeDocument/2006/relationships/hyperlink" Target="https://ico.org.uk/for-the-public/"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C631D8-C5F0-4E32-8E43-556C637352F4}"/>
      </w:docPartPr>
      <w:docPartBody>
        <w:p w:rsidR="00893160" w:rsidRDefault="00263D41">
          <w:r w:rsidRPr="00C635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41"/>
    <w:rsid w:val="001C0820"/>
    <w:rsid w:val="00263D41"/>
    <w:rsid w:val="0089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2229</Words>
  <Characters>12799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WILKIE, Shannon (NHS NOTTINGHAM AND NOTTINGHAMSHIRE ICB - 52R)</cp:lastModifiedBy>
  <cp:revision>3</cp:revision>
  <cp:lastPrinted>2018-07-03T09:00:00Z</cp:lastPrinted>
  <dcterms:created xsi:type="dcterms:W3CDTF">2023-01-31T13:16:00Z</dcterms:created>
  <dcterms:modified xsi:type="dcterms:W3CDTF">2023-02-01T09:27:00Z</dcterms:modified>
</cp:coreProperties>
</file>