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3A58" w14:textId="77777777" w:rsidR="0007572A" w:rsidRPr="001E76E8" w:rsidRDefault="0007572A" w:rsidP="0007572A">
      <w:pPr>
        <w:rPr>
          <w:rFonts w:ascii="Arial" w:hAnsi="Arial" w:cs="Arial"/>
          <w:b/>
          <w:bCs/>
          <w:sz w:val="24"/>
          <w:szCs w:val="24"/>
          <w:u w:val="single"/>
        </w:rPr>
      </w:pPr>
      <w:r w:rsidRPr="001E76E8">
        <w:rPr>
          <w:rFonts w:ascii="Arial" w:hAnsi="Arial" w:cs="Arial"/>
          <w:b/>
          <w:bCs/>
          <w:sz w:val="24"/>
          <w:szCs w:val="24"/>
          <w:u w:val="single"/>
        </w:rPr>
        <w:t>Nottingham and Nottinghamshire ICB – 2024 Gender Pay Gap Report</w:t>
      </w:r>
    </w:p>
    <w:p w14:paraId="7DDDF1EB" w14:textId="77777777" w:rsidR="0007572A" w:rsidRPr="00F63AA0" w:rsidRDefault="0007572A" w:rsidP="0007572A">
      <w:pPr>
        <w:spacing w:after="120"/>
        <w:rPr>
          <w:rFonts w:ascii="Arial" w:hAnsi="Arial" w:cs="Arial"/>
          <w:b/>
        </w:rPr>
      </w:pPr>
      <w:r>
        <w:br/>
      </w:r>
      <w:r w:rsidRPr="00F63AA0">
        <w:rPr>
          <w:rFonts w:ascii="Arial" w:hAnsi="Arial" w:cs="Arial"/>
          <w:b/>
        </w:rPr>
        <w:t>What is the Gender Pay Gap?</w:t>
      </w:r>
    </w:p>
    <w:p w14:paraId="4696CE2A" w14:textId="77777777" w:rsidR="0007572A" w:rsidRPr="00F63AA0" w:rsidRDefault="0007572A" w:rsidP="0007572A">
      <w:pPr>
        <w:spacing w:after="120"/>
        <w:rPr>
          <w:rFonts w:ascii="Arial" w:hAnsi="Arial" w:cs="Arial"/>
        </w:rPr>
      </w:pPr>
      <w:r w:rsidRPr="00F63AA0">
        <w:rPr>
          <w:rFonts w:ascii="Arial" w:hAnsi="Arial" w:cs="Arial"/>
        </w:rPr>
        <w:t>The gender pay gap measures the difference between average (median) hourly earnings of men and women, usually shown by the percentage men earn more than women (1)</w:t>
      </w:r>
    </w:p>
    <w:p w14:paraId="226FFC99" w14:textId="77777777" w:rsidR="0007572A" w:rsidRPr="00F63AA0" w:rsidRDefault="0007572A" w:rsidP="0007572A">
      <w:pPr>
        <w:spacing w:after="120"/>
        <w:rPr>
          <w:rFonts w:ascii="Arial" w:hAnsi="Arial" w:cs="Arial"/>
        </w:rPr>
      </w:pPr>
    </w:p>
    <w:p w14:paraId="3D3A3D2B" w14:textId="77777777" w:rsidR="0007572A" w:rsidRPr="00F63AA0" w:rsidRDefault="0007572A" w:rsidP="0007572A">
      <w:pPr>
        <w:spacing w:after="120"/>
        <w:rPr>
          <w:rFonts w:ascii="Arial" w:hAnsi="Arial" w:cs="Arial"/>
          <w:b/>
          <w:bCs/>
        </w:rPr>
      </w:pPr>
      <w:r w:rsidRPr="00F63AA0">
        <w:rPr>
          <w:rFonts w:ascii="Arial" w:hAnsi="Arial" w:cs="Arial"/>
          <w:b/>
          <w:bCs/>
        </w:rPr>
        <w:t>Who needs to report?</w:t>
      </w:r>
    </w:p>
    <w:p w14:paraId="7E496E50" w14:textId="77777777" w:rsidR="0007572A" w:rsidRPr="00F63AA0" w:rsidRDefault="0007572A" w:rsidP="0007572A">
      <w:pPr>
        <w:spacing w:after="120"/>
        <w:rPr>
          <w:rFonts w:ascii="Arial" w:hAnsi="Arial" w:cs="Arial"/>
        </w:rPr>
      </w:pPr>
      <w:r w:rsidRPr="00F63AA0">
        <w:rPr>
          <w:rFonts w:ascii="Arial" w:hAnsi="Arial" w:cs="Arial"/>
        </w:rPr>
        <w:t>It is now mandatory for organisations with 250 or more employees to report annually on their gender pay gap. NHS organisations are covered by the Equality Act 2010 (Specific Duties and Public Authorities) Regulations 2017.</w:t>
      </w:r>
    </w:p>
    <w:p w14:paraId="6219EF24" w14:textId="77777777" w:rsidR="0007572A" w:rsidRDefault="0007572A" w:rsidP="0007572A">
      <w:pPr>
        <w:spacing w:after="120"/>
        <w:rPr>
          <w:rFonts w:ascii="Arial" w:hAnsi="Arial" w:cs="Arial"/>
        </w:rPr>
      </w:pPr>
      <w:r w:rsidRPr="00F63AA0">
        <w:rPr>
          <w:rFonts w:ascii="Arial" w:hAnsi="Arial" w:cs="Arial"/>
        </w:rPr>
        <w:t xml:space="preserve">Reporting is </w:t>
      </w:r>
      <w:proofErr w:type="gramStart"/>
      <w:r w:rsidRPr="00F63AA0">
        <w:rPr>
          <w:rFonts w:ascii="Arial" w:hAnsi="Arial" w:cs="Arial"/>
        </w:rPr>
        <w:t>on the basis of</w:t>
      </w:r>
      <w:proofErr w:type="gramEnd"/>
      <w:r w:rsidRPr="00F63AA0">
        <w:rPr>
          <w:rFonts w:ascii="Arial" w:hAnsi="Arial" w:cs="Arial"/>
        </w:rPr>
        <w:t xml:space="preserve"> information captured on a snapshot date each year. For NHS organisations this is 31 March, with organisations required to publish their gender pay gap information by 30 March of the following year.</w:t>
      </w:r>
    </w:p>
    <w:p w14:paraId="17F8307E" w14:textId="77777777" w:rsidR="0007572A" w:rsidRPr="00F63AA0" w:rsidRDefault="0007572A" w:rsidP="0007572A">
      <w:pPr>
        <w:spacing w:after="120"/>
        <w:rPr>
          <w:rFonts w:ascii="Arial" w:hAnsi="Arial" w:cs="Arial"/>
        </w:rPr>
      </w:pPr>
    </w:p>
    <w:p w14:paraId="27690148" w14:textId="77777777" w:rsidR="0007572A" w:rsidRPr="00F63AA0" w:rsidRDefault="0007572A" w:rsidP="0007572A">
      <w:pPr>
        <w:spacing w:after="120"/>
        <w:rPr>
          <w:rFonts w:ascii="Arial" w:hAnsi="Arial" w:cs="Arial"/>
          <w:b/>
        </w:rPr>
      </w:pPr>
      <w:r w:rsidRPr="00F63AA0">
        <w:rPr>
          <w:rFonts w:ascii="Arial" w:hAnsi="Arial" w:cs="Arial"/>
          <w:b/>
        </w:rPr>
        <w:t>What needs to be reported?</w:t>
      </w:r>
    </w:p>
    <w:p w14:paraId="0262E0C8" w14:textId="77777777" w:rsidR="0007572A" w:rsidRPr="00F63AA0" w:rsidRDefault="0007572A" w:rsidP="0007572A">
      <w:pPr>
        <w:spacing w:after="120"/>
        <w:rPr>
          <w:rFonts w:ascii="Arial" w:hAnsi="Arial" w:cs="Arial"/>
        </w:rPr>
      </w:pPr>
      <w:r w:rsidRPr="00F63AA0">
        <w:rPr>
          <w:rFonts w:ascii="Arial" w:hAnsi="Arial" w:cs="Arial"/>
          <w:bCs/>
        </w:rPr>
        <w:t>The ICB needs to</w:t>
      </w:r>
      <w:r w:rsidRPr="00F63AA0">
        <w:rPr>
          <w:rFonts w:ascii="Arial" w:hAnsi="Arial" w:cs="Arial"/>
        </w:rPr>
        <w:t xml:space="preserve"> report the difference between the average earnings of men and women who are directly employed, engaged by, either via agency or contracts for service the ICB. </w:t>
      </w:r>
    </w:p>
    <w:p w14:paraId="2655FFEC" w14:textId="77777777" w:rsidR="0007572A" w:rsidRPr="00F63AA0" w:rsidRDefault="0007572A" w:rsidP="0007572A">
      <w:pPr>
        <w:spacing w:after="120"/>
        <w:rPr>
          <w:rFonts w:ascii="Arial" w:hAnsi="Arial" w:cs="Arial"/>
          <w:bCs/>
        </w:rPr>
      </w:pPr>
    </w:p>
    <w:p w14:paraId="4C47BB1B" w14:textId="77777777" w:rsidR="0007572A" w:rsidRPr="00F63AA0" w:rsidRDefault="0007572A" w:rsidP="0007572A">
      <w:pPr>
        <w:pStyle w:val="ListParagraph"/>
        <w:numPr>
          <w:ilvl w:val="2"/>
          <w:numId w:val="1"/>
        </w:numPr>
        <w:spacing w:after="120"/>
        <w:ind w:left="1134" w:hanging="567"/>
        <w:rPr>
          <w:rFonts w:ascii="Arial" w:hAnsi="Arial" w:cs="Arial"/>
        </w:rPr>
      </w:pPr>
      <w:r w:rsidRPr="00F63AA0">
        <w:rPr>
          <w:rFonts w:ascii="Arial" w:hAnsi="Arial" w:cs="Arial"/>
        </w:rPr>
        <w:t xml:space="preserve">The Organisations MEAN gender pay </w:t>
      </w:r>
      <w:proofErr w:type="gramStart"/>
      <w:r w:rsidRPr="00F63AA0">
        <w:rPr>
          <w:rFonts w:ascii="Arial" w:hAnsi="Arial" w:cs="Arial"/>
        </w:rPr>
        <w:t>gap</w:t>
      </w:r>
      <w:proofErr w:type="gramEnd"/>
    </w:p>
    <w:p w14:paraId="76E1D864" w14:textId="77777777" w:rsidR="0007572A" w:rsidRPr="00F63AA0" w:rsidRDefault="0007572A" w:rsidP="0007572A">
      <w:pPr>
        <w:pStyle w:val="ListParagraph"/>
        <w:numPr>
          <w:ilvl w:val="2"/>
          <w:numId w:val="1"/>
        </w:numPr>
        <w:spacing w:after="120"/>
        <w:ind w:left="1134" w:hanging="567"/>
        <w:contextualSpacing w:val="0"/>
        <w:rPr>
          <w:rFonts w:ascii="Arial" w:hAnsi="Arial" w:cs="Arial"/>
        </w:rPr>
      </w:pPr>
      <w:r w:rsidRPr="00F63AA0">
        <w:rPr>
          <w:rFonts w:ascii="Arial" w:hAnsi="Arial" w:cs="Arial"/>
        </w:rPr>
        <w:t xml:space="preserve">The organisations MEDIAN gender </w:t>
      </w:r>
      <w:proofErr w:type="gramStart"/>
      <w:r w:rsidRPr="00F63AA0">
        <w:rPr>
          <w:rFonts w:ascii="Arial" w:hAnsi="Arial" w:cs="Arial"/>
        </w:rPr>
        <w:t>pay</w:t>
      </w:r>
      <w:proofErr w:type="gramEnd"/>
      <w:r w:rsidRPr="00F63AA0">
        <w:rPr>
          <w:rFonts w:ascii="Arial" w:hAnsi="Arial" w:cs="Arial"/>
        </w:rPr>
        <w:t xml:space="preserve"> gap</w:t>
      </w:r>
    </w:p>
    <w:p w14:paraId="51376F82" w14:textId="77777777" w:rsidR="0007572A" w:rsidRPr="00F63AA0" w:rsidRDefault="0007572A" w:rsidP="0007572A">
      <w:pPr>
        <w:pStyle w:val="ListParagraph"/>
        <w:numPr>
          <w:ilvl w:val="2"/>
          <w:numId w:val="1"/>
        </w:numPr>
        <w:spacing w:after="120"/>
        <w:ind w:left="1134" w:hanging="567"/>
        <w:contextualSpacing w:val="0"/>
        <w:rPr>
          <w:rFonts w:ascii="Arial" w:hAnsi="Arial" w:cs="Arial"/>
        </w:rPr>
      </w:pPr>
      <w:r w:rsidRPr="00F63AA0">
        <w:rPr>
          <w:rFonts w:ascii="Arial" w:hAnsi="Arial" w:cs="Arial"/>
        </w:rPr>
        <w:t xml:space="preserve">The organisations proportion of male and females in each quartile pay </w:t>
      </w:r>
      <w:proofErr w:type="gramStart"/>
      <w:r w:rsidRPr="00F63AA0">
        <w:rPr>
          <w:rFonts w:ascii="Arial" w:hAnsi="Arial" w:cs="Arial"/>
        </w:rPr>
        <w:t>band</w:t>
      </w:r>
      <w:proofErr w:type="gramEnd"/>
    </w:p>
    <w:p w14:paraId="56BDBFBE" w14:textId="77777777" w:rsidR="0007572A" w:rsidRPr="00F63AA0" w:rsidRDefault="0007572A" w:rsidP="0007572A">
      <w:pPr>
        <w:pStyle w:val="ListParagraph"/>
        <w:numPr>
          <w:ilvl w:val="2"/>
          <w:numId w:val="1"/>
        </w:numPr>
        <w:spacing w:after="120"/>
        <w:ind w:left="1134" w:hanging="567"/>
        <w:contextualSpacing w:val="0"/>
        <w:rPr>
          <w:rFonts w:ascii="Arial" w:hAnsi="Arial" w:cs="Arial"/>
        </w:rPr>
      </w:pPr>
      <w:r w:rsidRPr="00F63AA0">
        <w:rPr>
          <w:rFonts w:ascii="Arial" w:hAnsi="Arial" w:cs="Arial"/>
        </w:rPr>
        <w:t>A written statement, authorised by an appropriate senior person, which confirms the accuracy of their calculations (this is only relevant to employers subject to the Equality Act 2010 (Gender Pay Gap Information) Regulations 2017</w:t>
      </w:r>
    </w:p>
    <w:p w14:paraId="4871BCFB" w14:textId="77777777" w:rsidR="0007572A" w:rsidRPr="00F63AA0" w:rsidRDefault="0007572A" w:rsidP="0007572A">
      <w:pPr>
        <w:rPr>
          <w:rFonts w:ascii="Arial" w:hAnsi="Arial" w:cs="Arial"/>
        </w:rPr>
      </w:pPr>
    </w:p>
    <w:p w14:paraId="4E6BC4AC" w14:textId="77777777" w:rsidR="0007572A" w:rsidRPr="00F63AA0" w:rsidRDefault="0007572A" w:rsidP="0007572A">
      <w:pPr>
        <w:rPr>
          <w:rFonts w:ascii="Arial" w:hAnsi="Arial" w:cs="Arial"/>
          <w:b/>
          <w:bCs/>
        </w:rPr>
      </w:pPr>
      <w:r w:rsidRPr="00F63AA0">
        <w:rPr>
          <w:rFonts w:ascii="Arial" w:hAnsi="Arial" w:cs="Arial"/>
          <w:b/>
          <w:bCs/>
        </w:rPr>
        <w:t>Gender Pay Gap</w:t>
      </w:r>
    </w:p>
    <w:p w14:paraId="1764CC02" w14:textId="77777777" w:rsidR="0007572A" w:rsidRPr="00F63AA0" w:rsidRDefault="0007572A" w:rsidP="0007572A">
      <w:pPr>
        <w:rPr>
          <w:rFonts w:ascii="Arial" w:hAnsi="Arial" w:cs="Arial"/>
        </w:rPr>
      </w:pPr>
      <w:r w:rsidRPr="00F63AA0">
        <w:rPr>
          <w:rFonts w:ascii="Arial" w:hAnsi="Arial" w:cs="Arial"/>
        </w:rPr>
        <w:t>In accordance with reporting requirements as of 31 March 202</w:t>
      </w:r>
      <w:r>
        <w:rPr>
          <w:rFonts w:ascii="Arial" w:hAnsi="Arial" w:cs="Arial"/>
        </w:rPr>
        <w:t>4</w:t>
      </w:r>
      <w:r w:rsidRPr="00F63AA0">
        <w:rPr>
          <w:rFonts w:ascii="Arial" w:hAnsi="Arial" w:cs="Arial"/>
        </w:rPr>
        <w:t xml:space="preserve">, below are the details for the breakdown of Nottingham and Nottinghamshire ICB’s workforce. </w:t>
      </w:r>
    </w:p>
    <w:p w14:paraId="10F3342F" w14:textId="77777777" w:rsidR="0007572A" w:rsidRPr="00F63AA0" w:rsidRDefault="0007572A" w:rsidP="0007572A">
      <w:pPr>
        <w:rPr>
          <w:rFonts w:ascii="Arial" w:hAnsi="Arial" w:cs="Arial"/>
        </w:rPr>
      </w:pPr>
      <w:r w:rsidRPr="00F63AA0">
        <w:rPr>
          <w:rFonts w:ascii="Arial" w:hAnsi="Arial" w:cs="Arial"/>
        </w:rPr>
        <w:t xml:space="preserve">The established number of employees for the purposes of this report is </w:t>
      </w:r>
      <w:r>
        <w:rPr>
          <w:rFonts w:ascii="Arial" w:hAnsi="Arial" w:cs="Arial"/>
        </w:rPr>
        <w:t>616</w:t>
      </w:r>
      <w:r w:rsidRPr="00F63AA0">
        <w:rPr>
          <w:rFonts w:ascii="Arial" w:hAnsi="Arial" w:cs="Arial"/>
        </w:rPr>
        <w:t>. This includes all employed, engaged and self-employed individuals where appropriate.</w:t>
      </w:r>
    </w:p>
    <w:p w14:paraId="5D259F2D" w14:textId="77777777" w:rsidR="0007572A" w:rsidRPr="009D5B1A" w:rsidRDefault="0007572A" w:rsidP="0007572A">
      <w:pPr>
        <w:rPr>
          <w:rFonts w:ascii="Arial" w:hAnsi="Arial" w:cs="Arial"/>
          <w:b/>
        </w:rPr>
      </w:pPr>
    </w:p>
    <w:tbl>
      <w:tblPr>
        <w:tblStyle w:val="TableGrid"/>
        <w:tblW w:w="0" w:type="auto"/>
        <w:tblLook w:val="04A0" w:firstRow="1" w:lastRow="0" w:firstColumn="1" w:lastColumn="0" w:noHBand="0" w:noVBand="1"/>
      </w:tblPr>
      <w:tblGrid>
        <w:gridCol w:w="3007"/>
        <w:gridCol w:w="3007"/>
        <w:gridCol w:w="3002"/>
      </w:tblGrid>
      <w:tr w:rsidR="0007572A" w:rsidRPr="009D5B1A" w14:paraId="764EE334" w14:textId="77777777" w:rsidTr="00FD1848">
        <w:tc>
          <w:tcPr>
            <w:tcW w:w="3080" w:type="dxa"/>
            <w:shd w:val="clear" w:color="auto" w:fill="BFBFBF" w:themeFill="background1" w:themeFillShade="BF"/>
          </w:tcPr>
          <w:p w14:paraId="075872B8" w14:textId="77777777" w:rsidR="0007572A" w:rsidRPr="009D5B1A" w:rsidRDefault="0007572A" w:rsidP="00FD1848">
            <w:pPr>
              <w:rPr>
                <w:rFonts w:ascii="Arial" w:hAnsi="Arial" w:cs="Arial"/>
                <w:b/>
              </w:rPr>
            </w:pPr>
            <w:r w:rsidRPr="009D5B1A">
              <w:rPr>
                <w:rFonts w:ascii="Arial" w:hAnsi="Arial" w:cs="Arial"/>
                <w:b/>
              </w:rPr>
              <w:t>Number of Eligible Male Employees</w:t>
            </w:r>
          </w:p>
        </w:tc>
        <w:tc>
          <w:tcPr>
            <w:tcW w:w="3081" w:type="dxa"/>
            <w:shd w:val="clear" w:color="auto" w:fill="BFBFBF" w:themeFill="background1" w:themeFillShade="BF"/>
          </w:tcPr>
          <w:p w14:paraId="6735A980" w14:textId="77777777" w:rsidR="0007572A" w:rsidRPr="009D5B1A" w:rsidRDefault="0007572A" w:rsidP="00FD1848">
            <w:pPr>
              <w:rPr>
                <w:rFonts w:ascii="Arial" w:hAnsi="Arial" w:cs="Arial"/>
                <w:b/>
              </w:rPr>
            </w:pPr>
            <w:r w:rsidRPr="009D5B1A">
              <w:rPr>
                <w:rFonts w:ascii="Arial" w:hAnsi="Arial" w:cs="Arial"/>
                <w:b/>
              </w:rPr>
              <w:t>Number of Eligible Female Employees</w:t>
            </w:r>
          </w:p>
        </w:tc>
        <w:tc>
          <w:tcPr>
            <w:tcW w:w="3081" w:type="dxa"/>
            <w:shd w:val="clear" w:color="auto" w:fill="BFBFBF" w:themeFill="background1" w:themeFillShade="BF"/>
          </w:tcPr>
          <w:p w14:paraId="10B4773C" w14:textId="77777777" w:rsidR="0007572A" w:rsidRPr="009D5B1A" w:rsidRDefault="0007572A" w:rsidP="00FD1848">
            <w:pPr>
              <w:rPr>
                <w:rFonts w:ascii="Arial" w:hAnsi="Arial" w:cs="Arial"/>
                <w:b/>
              </w:rPr>
            </w:pPr>
            <w:r w:rsidRPr="009D5B1A">
              <w:rPr>
                <w:rFonts w:ascii="Arial" w:hAnsi="Arial" w:cs="Arial"/>
                <w:b/>
              </w:rPr>
              <w:t>Total Eligible Employee Number</w:t>
            </w:r>
          </w:p>
        </w:tc>
      </w:tr>
      <w:tr w:rsidR="0007572A" w:rsidRPr="009D5B1A" w14:paraId="7FD3FC16" w14:textId="77777777" w:rsidTr="00FD1848">
        <w:tc>
          <w:tcPr>
            <w:tcW w:w="3080" w:type="dxa"/>
          </w:tcPr>
          <w:p w14:paraId="4B6F3AC0" w14:textId="77777777" w:rsidR="0007572A" w:rsidRPr="009D5B1A" w:rsidRDefault="0007572A" w:rsidP="00FD1848">
            <w:pPr>
              <w:jc w:val="center"/>
              <w:rPr>
                <w:rFonts w:ascii="Arial" w:hAnsi="Arial" w:cs="Arial"/>
              </w:rPr>
            </w:pPr>
            <w:r>
              <w:rPr>
                <w:rFonts w:ascii="Arial" w:hAnsi="Arial" w:cs="Arial"/>
              </w:rPr>
              <w:t>157</w:t>
            </w:r>
          </w:p>
        </w:tc>
        <w:tc>
          <w:tcPr>
            <w:tcW w:w="3081" w:type="dxa"/>
          </w:tcPr>
          <w:p w14:paraId="052DB125" w14:textId="77777777" w:rsidR="0007572A" w:rsidRPr="009D5B1A" w:rsidRDefault="0007572A" w:rsidP="00FD1848">
            <w:pPr>
              <w:jc w:val="center"/>
              <w:rPr>
                <w:rFonts w:ascii="Arial" w:hAnsi="Arial" w:cs="Arial"/>
              </w:rPr>
            </w:pPr>
            <w:r>
              <w:rPr>
                <w:rFonts w:ascii="Arial" w:hAnsi="Arial" w:cs="Arial"/>
              </w:rPr>
              <w:t>459</w:t>
            </w:r>
          </w:p>
        </w:tc>
        <w:tc>
          <w:tcPr>
            <w:tcW w:w="3081" w:type="dxa"/>
          </w:tcPr>
          <w:p w14:paraId="44F1804E" w14:textId="77777777" w:rsidR="0007572A" w:rsidRPr="009D5B1A" w:rsidRDefault="0007572A" w:rsidP="00FD1848">
            <w:pPr>
              <w:jc w:val="center"/>
              <w:rPr>
                <w:rFonts w:ascii="Arial" w:hAnsi="Arial" w:cs="Arial"/>
              </w:rPr>
            </w:pPr>
            <w:r>
              <w:rPr>
                <w:rFonts w:ascii="Arial" w:hAnsi="Arial" w:cs="Arial"/>
              </w:rPr>
              <w:t>616</w:t>
            </w:r>
          </w:p>
        </w:tc>
      </w:tr>
    </w:tbl>
    <w:p w14:paraId="027ACA56" w14:textId="77777777" w:rsidR="0007572A" w:rsidRDefault="0007572A" w:rsidP="0007572A">
      <w:pPr>
        <w:rPr>
          <w:rFonts w:ascii="Arial" w:hAnsi="Arial" w:cs="Arial"/>
        </w:rPr>
      </w:pPr>
    </w:p>
    <w:p w14:paraId="3BB0FFE9" w14:textId="77777777" w:rsidR="0007572A" w:rsidRDefault="0007572A" w:rsidP="0007572A">
      <w:pPr>
        <w:rPr>
          <w:rFonts w:ascii="Arial" w:hAnsi="Arial" w:cs="Arial"/>
        </w:rPr>
      </w:pPr>
    </w:p>
    <w:p w14:paraId="1056701B" w14:textId="77777777" w:rsidR="0007572A" w:rsidRPr="00F63AA0" w:rsidRDefault="0007572A" w:rsidP="0007572A">
      <w:pPr>
        <w:rPr>
          <w:rFonts w:ascii="Arial" w:hAnsi="Arial" w:cs="Arial"/>
          <w:b/>
          <w:bCs/>
        </w:rPr>
      </w:pPr>
      <w:r w:rsidRPr="00F63AA0">
        <w:rPr>
          <w:rFonts w:ascii="Arial" w:hAnsi="Arial" w:cs="Arial"/>
          <w:b/>
          <w:bCs/>
        </w:rPr>
        <w:lastRenderedPageBreak/>
        <w:t>The Mean (Average) and Median Gender Pay Gap</w:t>
      </w:r>
    </w:p>
    <w:p w14:paraId="5F1779D9" w14:textId="77777777" w:rsidR="0007572A" w:rsidRPr="009D5B1A" w:rsidRDefault="0007572A" w:rsidP="0007572A">
      <w:pPr>
        <w:rPr>
          <w:rFonts w:ascii="Arial" w:hAnsi="Arial" w:cs="Arial"/>
        </w:rPr>
      </w:pPr>
      <w:r>
        <w:rPr>
          <w:rFonts w:ascii="Arial" w:hAnsi="Arial" w:cs="Arial"/>
        </w:rPr>
        <w:t>The table below details Nottingham and Nottinghamshire ICB’s Mean (Average) and Median Pay Gaps.</w:t>
      </w:r>
      <w:r>
        <w:rPr>
          <w:rFonts w:ascii="Arial" w:hAnsi="Arial" w:cs="Arial"/>
        </w:rPr>
        <w:br/>
      </w:r>
    </w:p>
    <w:tbl>
      <w:tblPr>
        <w:tblStyle w:val="TableGrid"/>
        <w:tblW w:w="0" w:type="auto"/>
        <w:tblLook w:val="04A0" w:firstRow="1" w:lastRow="0" w:firstColumn="1" w:lastColumn="0" w:noHBand="0" w:noVBand="1"/>
      </w:tblPr>
      <w:tblGrid>
        <w:gridCol w:w="2484"/>
        <w:gridCol w:w="3201"/>
        <w:gridCol w:w="3331"/>
      </w:tblGrid>
      <w:tr w:rsidR="0007572A" w:rsidRPr="009D5B1A" w14:paraId="3C732766" w14:textId="77777777" w:rsidTr="00FD1848">
        <w:tc>
          <w:tcPr>
            <w:tcW w:w="2518" w:type="dxa"/>
            <w:shd w:val="clear" w:color="auto" w:fill="BFBFBF" w:themeFill="background1" w:themeFillShade="BF"/>
          </w:tcPr>
          <w:p w14:paraId="22AA62F5" w14:textId="77777777" w:rsidR="0007572A" w:rsidRPr="009D5B1A" w:rsidRDefault="0007572A" w:rsidP="00FD1848">
            <w:pPr>
              <w:rPr>
                <w:rFonts w:ascii="Arial" w:hAnsi="Arial" w:cs="Arial"/>
                <w:b/>
              </w:rPr>
            </w:pPr>
            <w:r w:rsidRPr="009D5B1A">
              <w:rPr>
                <w:rFonts w:ascii="Arial" w:hAnsi="Arial" w:cs="Arial"/>
                <w:b/>
              </w:rPr>
              <w:t>Gender</w:t>
            </w:r>
          </w:p>
        </w:tc>
        <w:tc>
          <w:tcPr>
            <w:tcW w:w="3260" w:type="dxa"/>
            <w:shd w:val="clear" w:color="auto" w:fill="BFBFBF" w:themeFill="background1" w:themeFillShade="BF"/>
          </w:tcPr>
          <w:p w14:paraId="7DA324C5" w14:textId="77777777" w:rsidR="0007572A" w:rsidRPr="009D5B1A" w:rsidRDefault="0007572A" w:rsidP="00FD1848">
            <w:pPr>
              <w:rPr>
                <w:rFonts w:ascii="Arial" w:hAnsi="Arial" w:cs="Arial"/>
                <w:b/>
              </w:rPr>
            </w:pPr>
            <w:r w:rsidRPr="009D5B1A">
              <w:rPr>
                <w:rFonts w:ascii="Arial" w:hAnsi="Arial" w:cs="Arial"/>
                <w:b/>
              </w:rPr>
              <w:t xml:space="preserve">Mean </w:t>
            </w:r>
            <w:r>
              <w:rPr>
                <w:rFonts w:ascii="Arial" w:hAnsi="Arial" w:cs="Arial"/>
                <w:b/>
              </w:rPr>
              <w:t xml:space="preserve">(Average) </w:t>
            </w:r>
            <w:r w:rsidRPr="009D5B1A">
              <w:rPr>
                <w:rFonts w:ascii="Arial" w:hAnsi="Arial" w:cs="Arial"/>
                <w:b/>
              </w:rPr>
              <w:t>Hourly Rate</w:t>
            </w:r>
          </w:p>
        </w:tc>
        <w:tc>
          <w:tcPr>
            <w:tcW w:w="3402" w:type="dxa"/>
            <w:shd w:val="clear" w:color="auto" w:fill="BFBFBF" w:themeFill="background1" w:themeFillShade="BF"/>
          </w:tcPr>
          <w:p w14:paraId="76C69C9D" w14:textId="77777777" w:rsidR="0007572A" w:rsidRPr="009D5B1A" w:rsidRDefault="0007572A" w:rsidP="00FD1848">
            <w:pPr>
              <w:rPr>
                <w:rFonts w:ascii="Arial" w:hAnsi="Arial" w:cs="Arial"/>
                <w:b/>
              </w:rPr>
            </w:pPr>
            <w:r w:rsidRPr="009D5B1A">
              <w:rPr>
                <w:rFonts w:ascii="Arial" w:hAnsi="Arial" w:cs="Arial"/>
                <w:b/>
              </w:rPr>
              <w:t>Median Hourly Rate</w:t>
            </w:r>
          </w:p>
        </w:tc>
      </w:tr>
      <w:tr w:rsidR="0007572A" w:rsidRPr="009D5B1A" w14:paraId="7E261266" w14:textId="77777777" w:rsidTr="00FD1848">
        <w:tc>
          <w:tcPr>
            <w:tcW w:w="2518" w:type="dxa"/>
          </w:tcPr>
          <w:p w14:paraId="28BB5158" w14:textId="77777777" w:rsidR="0007572A" w:rsidRPr="009D5B1A" w:rsidRDefault="0007572A" w:rsidP="00FD1848">
            <w:pPr>
              <w:rPr>
                <w:rFonts w:ascii="Arial" w:hAnsi="Arial" w:cs="Arial"/>
              </w:rPr>
            </w:pPr>
            <w:r w:rsidRPr="009D5B1A">
              <w:rPr>
                <w:rFonts w:ascii="Arial" w:hAnsi="Arial" w:cs="Arial"/>
              </w:rPr>
              <w:t>Male</w:t>
            </w:r>
          </w:p>
        </w:tc>
        <w:tc>
          <w:tcPr>
            <w:tcW w:w="3260" w:type="dxa"/>
          </w:tcPr>
          <w:p w14:paraId="352C55EA" w14:textId="77777777" w:rsidR="0007572A" w:rsidRPr="009D5B1A" w:rsidRDefault="0007572A" w:rsidP="00FD1848">
            <w:pPr>
              <w:tabs>
                <w:tab w:val="center" w:pos="1309"/>
              </w:tabs>
              <w:jc w:val="center"/>
              <w:rPr>
                <w:rFonts w:ascii="Arial" w:hAnsi="Arial" w:cs="Arial"/>
              </w:rPr>
            </w:pPr>
            <w:r w:rsidRPr="009D5B1A">
              <w:rPr>
                <w:rFonts w:ascii="Arial" w:hAnsi="Arial" w:cs="Arial"/>
              </w:rPr>
              <w:t>£</w:t>
            </w:r>
            <w:r>
              <w:rPr>
                <w:rFonts w:ascii="Arial" w:hAnsi="Arial" w:cs="Arial"/>
              </w:rPr>
              <w:t>43.29</w:t>
            </w:r>
          </w:p>
        </w:tc>
        <w:tc>
          <w:tcPr>
            <w:tcW w:w="3402" w:type="dxa"/>
          </w:tcPr>
          <w:p w14:paraId="00E8CDA6" w14:textId="77777777" w:rsidR="0007572A" w:rsidRPr="009D5B1A" w:rsidRDefault="0007572A" w:rsidP="00FD1848">
            <w:pPr>
              <w:jc w:val="center"/>
              <w:rPr>
                <w:rFonts w:ascii="Arial" w:hAnsi="Arial" w:cs="Arial"/>
              </w:rPr>
            </w:pPr>
            <w:r>
              <w:rPr>
                <w:rFonts w:ascii="Arial" w:hAnsi="Arial" w:cs="Arial"/>
              </w:rPr>
              <w:t>£26.05</w:t>
            </w:r>
          </w:p>
        </w:tc>
      </w:tr>
      <w:tr w:rsidR="0007572A" w:rsidRPr="009D5B1A" w14:paraId="5F4A6BB4" w14:textId="77777777" w:rsidTr="00FD1848">
        <w:tc>
          <w:tcPr>
            <w:tcW w:w="2518" w:type="dxa"/>
          </w:tcPr>
          <w:p w14:paraId="159CBCA2" w14:textId="77777777" w:rsidR="0007572A" w:rsidRPr="009D5B1A" w:rsidRDefault="0007572A" w:rsidP="00FD1848">
            <w:pPr>
              <w:rPr>
                <w:rFonts w:ascii="Arial" w:hAnsi="Arial" w:cs="Arial"/>
              </w:rPr>
            </w:pPr>
            <w:r w:rsidRPr="009D5B1A">
              <w:rPr>
                <w:rFonts w:ascii="Arial" w:hAnsi="Arial" w:cs="Arial"/>
              </w:rPr>
              <w:t>Female</w:t>
            </w:r>
          </w:p>
        </w:tc>
        <w:tc>
          <w:tcPr>
            <w:tcW w:w="3260" w:type="dxa"/>
          </w:tcPr>
          <w:p w14:paraId="38FD4F52"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26.91</w:t>
            </w:r>
          </w:p>
        </w:tc>
        <w:tc>
          <w:tcPr>
            <w:tcW w:w="3402" w:type="dxa"/>
          </w:tcPr>
          <w:p w14:paraId="68D8C6AB" w14:textId="77777777" w:rsidR="0007572A" w:rsidRPr="009D5B1A" w:rsidRDefault="0007572A" w:rsidP="00FD1848">
            <w:pPr>
              <w:jc w:val="center"/>
              <w:rPr>
                <w:rFonts w:ascii="Arial" w:hAnsi="Arial" w:cs="Arial"/>
              </w:rPr>
            </w:pPr>
            <w:r>
              <w:rPr>
                <w:rFonts w:ascii="Arial" w:hAnsi="Arial" w:cs="Arial"/>
              </w:rPr>
              <w:t>23.52</w:t>
            </w:r>
          </w:p>
        </w:tc>
      </w:tr>
      <w:tr w:rsidR="0007572A" w:rsidRPr="009D5B1A" w14:paraId="31113922" w14:textId="77777777" w:rsidTr="00FD1848">
        <w:tc>
          <w:tcPr>
            <w:tcW w:w="2518" w:type="dxa"/>
          </w:tcPr>
          <w:p w14:paraId="4512D393" w14:textId="77777777" w:rsidR="0007572A" w:rsidRPr="009D5B1A" w:rsidRDefault="0007572A" w:rsidP="00FD1848">
            <w:pPr>
              <w:rPr>
                <w:rFonts w:ascii="Arial" w:hAnsi="Arial" w:cs="Arial"/>
              </w:rPr>
            </w:pPr>
            <w:r w:rsidRPr="009D5B1A">
              <w:rPr>
                <w:rFonts w:ascii="Arial" w:hAnsi="Arial" w:cs="Arial"/>
              </w:rPr>
              <w:t>Difference</w:t>
            </w:r>
          </w:p>
        </w:tc>
        <w:tc>
          <w:tcPr>
            <w:tcW w:w="3260" w:type="dxa"/>
          </w:tcPr>
          <w:p w14:paraId="7E4B798D"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16.38</w:t>
            </w:r>
          </w:p>
        </w:tc>
        <w:tc>
          <w:tcPr>
            <w:tcW w:w="3402" w:type="dxa"/>
          </w:tcPr>
          <w:p w14:paraId="30831D8B" w14:textId="77777777" w:rsidR="0007572A" w:rsidRPr="009D5B1A" w:rsidRDefault="0007572A" w:rsidP="00FD1848">
            <w:pPr>
              <w:jc w:val="center"/>
              <w:rPr>
                <w:rFonts w:ascii="Arial" w:hAnsi="Arial" w:cs="Arial"/>
              </w:rPr>
            </w:pPr>
            <w:r>
              <w:rPr>
                <w:rFonts w:ascii="Arial" w:hAnsi="Arial" w:cs="Arial"/>
              </w:rPr>
              <w:t>2.53</w:t>
            </w:r>
          </w:p>
        </w:tc>
      </w:tr>
      <w:tr w:rsidR="0007572A" w:rsidRPr="009D5B1A" w14:paraId="617D26A2" w14:textId="77777777" w:rsidTr="00FD1848">
        <w:tc>
          <w:tcPr>
            <w:tcW w:w="2518" w:type="dxa"/>
          </w:tcPr>
          <w:p w14:paraId="7CC9ACCF" w14:textId="77777777" w:rsidR="0007572A" w:rsidRPr="009D5B1A" w:rsidRDefault="0007572A" w:rsidP="00FD1848">
            <w:pPr>
              <w:rPr>
                <w:rFonts w:ascii="Arial" w:hAnsi="Arial" w:cs="Arial"/>
              </w:rPr>
            </w:pPr>
            <w:r w:rsidRPr="009D5B1A">
              <w:rPr>
                <w:rFonts w:ascii="Arial" w:hAnsi="Arial" w:cs="Arial"/>
              </w:rPr>
              <w:t>Pay Gap Percentage</w:t>
            </w:r>
          </w:p>
        </w:tc>
        <w:tc>
          <w:tcPr>
            <w:tcW w:w="3260" w:type="dxa"/>
          </w:tcPr>
          <w:p w14:paraId="5FF76AC6" w14:textId="77777777" w:rsidR="0007572A" w:rsidRPr="009D5B1A" w:rsidRDefault="0007572A" w:rsidP="00FD1848">
            <w:pPr>
              <w:jc w:val="center"/>
              <w:rPr>
                <w:rFonts w:ascii="Arial" w:hAnsi="Arial" w:cs="Arial"/>
              </w:rPr>
            </w:pPr>
            <w:r>
              <w:rPr>
                <w:rFonts w:ascii="Arial" w:hAnsi="Arial" w:cs="Arial"/>
              </w:rPr>
              <w:t>37.84</w:t>
            </w:r>
            <w:r w:rsidRPr="009D5B1A">
              <w:rPr>
                <w:rFonts w:ascii="Arial" w:hAnsi="Arial" w:cs="Arial"/>
              </w:rPr>
              <w:t>%</w:t>
            </w:r>
          </w:p>
        </w:tc>
        <w:tc>
          <w:tcPr>
            <w:tcW w:w="3402" w:type="dxa"/>
          </w:tcPr>
          <w:p w14:paraId="31C80539" w14:textId="77777777" w:rsidR="0007572A" w:rsidRPr="009D5B1A" w:rsidRDefault="0007572A" w:rsidP="00FD1848">
            <w:pPr>
              <w:jc w:val="center"/>
              <w:rPr>
                <w:rFonts w:ascii="Arial" w:hAnsi="Arial" w:cs="Arial"/>
              </w:rPr>
            </w:pPr>
            <w:r>
              <w:rPr>
                <w:rFonts w:ascii="Arial" w:hAnsi="Arial" w:cs="Arial"/>
              </w:rPr>
              <w:t>9.72</w:t>
            </w:r>
            <w:r w:rsidRPr="009D5B1A">
              <w:rPr>
                <w:rFonts w:ascii="Arial" w:hAnsi="Arial" w:cs="Arial"/>
              </w:rPr>
              <w:t>%</w:t>
            </w:r>
          </w:p>
        </w:tc>
      </w:tr>
    </w:tbl>
    <w:p w14:paraId="19400745" w14:textId="77777777" w:rsidR="0007572A" w:rsidRDefault="0007572A" w:rsidP="0007572A">
      <w:pPr>
        <w:rPr>
          <w:rFonts w:ascii="Arial" w:hAnsi="Arial" w:cs="Arial"/>
          <w:b/>
          <w:bCs/>
        </w:rPr>
      </w:pPr>
    </w:p>
    <w:p w14:paraId="4863A38E" w14:textId="77777777" w:rsidR="0007572A" w:rsidRPr="00F63AA0" w:rsidRDefault="0007572A" w:rsidP="0007572A">
      <w:pPr>
        <w:rPr>
          <w:rFonts w:ascii="Arial" w:hAnsi="Arial" w:cs="Arial"/>
          <w:b/>
          <w:bCs/>
        </w:rPr>
      </w:pPr>
      <w:r w:rsidRPr="00F63AA0">
        <w:rPr>
          <w:rFonts w:ascii="Arial" w:hAnsi="Arial" w:cs="Arial"/>
          <w:b/>
          <w:bCs/>
        </w:rPr>
        <w:t>The Proportion of Females and Males in each Quartile</w:t>
      </w:r>
    </w:p>
    <w:p w14:paraId="31864EFC" w14:textId="77777777" w:rsidR="0007572A" w:rsidRDefault="0007572A" w:rsidP="0007572A">
      <w:pPr>
        <w:rPr>
          <w:rFonts w:ascii="Arial" w:hAnsi="Arial" w:cs="Arial"/>
        </w:rPr>
      </w:pPr>
      <w:r>
        <w:rPr>
          <w:noProof/>
        </w:rPr>
        <w:drawing>
          <wp:inline distT="0" distB="0" distL="0" distR="0" wp14:anchorId="744DFC5A" wp14:editId="2D72A509">
            <wp:extent cx="5731510" cy="2727960"/>
            <wp:effectExtent l="0" t="0" r="0" b="0"/>
            <wp:docPr id="1" name="Chart 1" descr="Bar chart provides detail of staffing number by gender in the four quartiles.">
              <a:extLst xmlns:a="http://schemas.openxmlformats.org/drawingml/2006/main">
                <a:ext uri="{FF2B5EF4-FFF2-40B4-BE49-F238E27FC236}">
                  <a16:creationId xmlns:a16="http://schemas.microsoft.com/office/drawing/2014/main" id="{FCE5D1A4-BF5E-C66A-E742-5730674F1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90EF91" w14:textId="77777777" w:rsidR="0007572A" w:rsidRDefault="0007572A" w:rsidP="0007572A">
      <w:pPr>
        <w:rPr>
          <w:rFonts w:ascii="Arial" w:hAnsi="Arial" w:cs="Arial"/>
        </w:rPr>
      </w:pPr>
    </w:p>
    <w:tbl>
      <w:tblPr>
        <w:tblStyle w:val="TableGrid"/>
        <w:tblW w:w="0" w:type="auto"/>
        <w:tblLook w:val="04A0" w:firstRow="1" w:lastRow="0" w:firstColumn="1" w:lastColumn="0" w:noHBand="0" w:noVBand="1"/>
      </w:tblPr>
      <w:tblGrid>
        <w:gridCol w:w="1502"/>
        <w:gridCol w:w="2109"/>
        <w:gridCol w:w="1790"/>
        <w:gridCol w:w="1814"/>
        <w:gridCol w:w="1801"/>
      </w:tblGrid>
      <w:tr w:rsidR="0007572A" w14:paraId="1907F50A" w14:textId="77777777" w:rsidTr="00FD1848">
        <w:tc>
          <w:tcPr>
            <w:tcW w:w="1526" w:type="dxa"/>
            <w:shd w:val="clear" w:color="auto" w:fill="A6A6A6" w:themeFill="background1" w:themeFillShade="A6"/>
          </w:tcPr>
          <w:p w14:paraId="3B43553C" w14:textId="77777777" w:rsidR="0007572A" w:rsidRPr="001C7B04" w:rsidRDefault="0007572A" w:rsidP="00FD1848">
            <w:pPr>
              <w:rPr>
                <w:rFonts w:ascii="Arial" w:hAnsi="Arial" w:cs="Arial"/>
                <w:b/>
                <w:bCs/>
              </w:rPr>
            </w:pPr>
            <w:r w:rsidRPr="001C7B04">
              <w:rPr>
                <w:rFonts w:ascii="Arial" w:hAnsi="Arial" w:cs="Arial"/>
                <w:b/>
                <w:bCs/>
              </w:rPr>
              <w:t>Quartile</w:t>
            </w:r>
          </w:p>
        </w:tc>
        <w:tc>
          <w:tcPr>
            <w:tcW w:w="2170" w:type="dxa"/>
            <w:shd w:val="clear" w:color="auto" w:fill="A6A6A6" w:themeFill="background1" w:themeFillShade="A6"/>
          </w:tcPr>
          <w:p w14:paraId="2129A42F" w14:textId="77777777" w:rsidR="0007572A" w:rsidRPr="001C7B04" w:rsidRDefault="0007572A" w:rsidP="00FD1848">
            <w:pPr>
              <w:rPr>
                <w:rFonts w:ascii="Arial" w:hAnsi="Arial" w:cs="Arial"/>
                <w:b/>
                <w:bCs/>
              </w:rPr>
            </w:pPr>
            <w:r w:rsidRPr="001C7B04">
              <w:rPr>
                <w:rFonts w:ascii="Arial" w:hAnsi="Arial" w:cs="Arial"/>
                <w:b/>
                <w:bCs/>
              </w:rPr>
              <w:t>Female</w:t>
            </w:r>
          </w:p>
        </w:tc>
        <w:tc>
          <w:tcPr>
            <w:tcW w:w="1848" w:type="dxa"/>
            <w:shd w:val="clear" w:color="auto" w:fill="A6A6A6" w:themeFill="background1" w:themeFillShade="A6"/>
          </w:tcPr>
          <w:p w14:paraId="558C5A31" w14:textId="77777777" w:rsidR="0007572A" w:rsidRPr="001C7B04" w:rsidRDefault="0007572A" w:rsidP="00FD1848">
            <w:pPr>
              <w:rPr>
                <w:rFonts w:ascii="Arial" w:hAnsi="Arial" w:cs="Arial"/>
                <w:b/>
                <w:bCs/>
              </w:rPr>
            </w:pPr>
            <w:r w:rsidRPr="001C7B04">
              <w:rPr>
                <w:rFonts w:ascii="Arial" w:hAnsi="Arial" w:cs="Arial"/>
                <w:b/>
                <w:bCs/>
              </w:rPr>
              <w:t>Male</w:t>
            </w:r>
          </w:p>
        </w:tc>
        <w:tc>
          <w:tcPr>
            <w:tcW w:w="1849" w:type="dxa"/>
            <w:shd w:val="clear" w:color="auto" w:fill="A6A6A6" w:themeFill="background1" w:themeFillShade="A6"/>
          </w:tcPr>
          <w:p w14:paraId="046CEFB5" w14:textId="77777777" w:rsidR="0007572A" w:rsidRPr="001C7B04" w:rsidRDefault="0007572A" w:rsidP="00FD1848">
            <w:pPr>
              <w:rPr>
                <w:rFonts w:ascii="Arial" w:hAnsi="Arial" w:cs="Arial"/>
                <w:b/>
                <w:bCs/>
              </w:rPr>
            </w:pPr>
            <w:r w:rsidRPr="001C7B04">
              <w:rPr>
                <w:rFonts w:ascii="Arial" w:hAnsi="Arial" w:cs="Arial"/>
                <w:b/>
                <w:bCs/>
              </w:rPr>
              <w:t>Female%</w:t>
            </w:r>
          </w:p>
        </w:tc>
        <w:tc>
          <w:tcPr>
            <w:tcW w:w="1849" w:type="dxa"/>
            <w:shd w:val="clear" w:color="auto" w:fill="A6A6A6" w:themeFill="background1" w:themeFillShade="A6"/>
          </w:tcPr>
          <w:p w14:paraId="6234A76D" w14:textId="77777777" w:rsidR="0007572A" w:rsidRPr="001C7B04" w:rsidRDefault="0007572A" w:rsidP="00FD1848">
            <w:pPr>
              <w:rPr>
                <w:rFonts w:ascii="Arial" w:hAnsi="Arial" w:cs="Arial"/>
                <w:b/>
                <w:bCs/>
              </w:rPr>
            </w:pPr>
            <w:r w:rsidRPr="001C7B04">
              <w:rPr>
                <w:rFonts w:ascii="Arial" w:hAnsi="Arial" w:cs="Arial"/>
                <w:b/>
                <w:bCs/>
              </w:rPr>
              <w:t>Male%</w:t>
            </w:r>
          </w:p>
        </w:tc>
      </w:tr>
      <w:tr w:rsidR="0007572A" w14:paraId="6908D417" w14:textId="77777777" w:rsidTr="00FD1848">
        <w:tc>
          <w:tcPr>
            <w:tcW w:w="1526" w:type="dxa"/>
            <w:shd w:val="clear" w:color="auto" w:fill="A6A6A6" w:themeFill="background1" w:themeFillShade="A6"/>
          </w:tcPr>
          <w:p w14:paraId="61503E72" w14:textId="77777777" w:rsidR="0007572A" w:rsidRPr="001C7B04" w:rsidRDefault="0007572A" w:rsidP="00FD1848">
            <w:pPr>
              <w:rPr>
                <w:rFonts w:ascii="Arial" w:hAnsi="Arial" w:cs="Arial"/>
                <w:b/>
                <w:bCs/>
              </w:rPr>
            </w:pPr>
            <w:r w:rsidRPr="001C7B04">
              <w:rPr>
                <w:rFonts w:ascii="Arial" w:hAnsi="Arial" w:cs="Arial"/>
                <w:b/>
                <w:bCs/>
              </w:rPr>
              <w:t>1</w:t>
            </w:r>
          </w:p>
        </w:tc>
        <w:tc>
          <w:tcPr>
            <w:tcW w:w="2170" w:type="dxa"/>
          </w:tcPr>
          <w:p w14:paraId="5E7895FF" w14:textId="77777777" w:rsidR="0007572A" w:rsidRDefault="0007572A" w:rsidP="00FD1848">
            <w:pPr>
              <w:rPr>
                <w:rFonts w:ascii="Arial" w:hAnsi="Arial" w:cs="Arial"/>
              </w:rPr>
            </w:pPr>
            <w:r>
              <w:rPr>
                <w:rFonts w:ascii="Arial" w:hAnsi="Arial" w:cs="Arial"/>
              </w:rPr>
              <w:t>134</w:t>
            </w:r>
          </w:p>
        </w:tc>
        <w:tc>
          <w:tcPr>
            <w:tcW w:w="1848" w:type="dxa"/>
          </w:tcPr>
          <w:p w14:paraId="531F37C5" w14:textId="77777777" w:rsidR="0007572A" w:rsidRDefault="0007572A" w:rsidP="00FD1848">
            <w:pPr>
              <w:rPr>
                <w:rFonts w:ascii="Arial" w:hAnsi="Arial" w:cs="Arial"/>
              </w:rPr>
            </w:pPr>
            <w:r>
              <w:rPr>
                <w:rFonts w:ascii="Arial" w:hAnsi="Arial" w:cs="Arial"/>
              </w:rPr>
              <w:t>20</w:t>
            </w:r>
          </w:p>
        </w:tc>
        <w:tc>
          <w:tcPr>
            <w:tcW w:w="1849" w:type="dxa"/>
          </w:tcPr>
          <w:p w14:paraId="6FAB5C20" w14:textId="77777777" w:rsidR="0007572A" w:rsidRDefault="0007572A" w:rsidP="00FD1848">
            <w:pPr>
              <w:rPr>
                <w:rFonts w:ascii="Arial" w:hAnsi="Arial" w:cs="Arial"/>
              </w:rPr>
            </w:pPr>
            <w:r>
              <w:rPr>
                <w:rFonts w:ascii="Arial" w:hAnsi="Arial" w:cs="Arial"/>
              </w:rPr>
              <w:t>87%</w:t>
            </w:r>
          </w:p>
        </w:tc>
        <w:tc>
          <w:tcPr>
            <w:tcW w:w="1849" w:type="dxa"/>
          </w:tcPr>
          <w:p w14:paraId="1BFA367B" w14:textId="77777777" w:rsidR="0007572A" w:rsidRDefault="0007572A" w:rsidP="00FD1848">
            <w:pPr>
              <w:rPr>
                <w:rFonts w:ascii="Arial" w:hAnsi="Arial" w:cs="Arial"/>
              </w:rPr>
            </w:pPr>
            <w:r>
              <w:rPr>
                <w:rFonts w:ascii="Arial" w:hAnsi="Arial" w:cs="Arial"/>
              </w:rPr>
              <w:t>13%</w:t>
            </w:r>
          </w:p>
        </w:tc>
      </w:tr>
      <w:tr w:rsidR="0007572A" w14:paraId="6EAEA534" w14:textId="77777777" w:rsidTr="00FD1848">
        <w:tc>
          <w:tcPr>
            <w:tcW w:w="1526" w:type="dxa"/>
            <w:shd w:val="clear" w:color="auto" w:fill="A6A6A6" w:themeFill="background1" w:themeFillShade="A6"/>
          </w:tcPr>
          <w:p w14:paraId="12BD542B" w14:textId="77777777" w:rsidR="0007572A" w:rsidRPr="001C7B04" w:rsidRDefault="0007572A" w:rsidP="00FD1848">
            <w:pPr>
              <w:rPr>
                <w:rFonts w:ascii="Arial" w:hAnsi="Arial" w:cs="Arial"/>
                <w:b/>
                <w:bCs/>
              </w:rPr>
            </w:pPr>
            <w:r w:rsidRPr="001C7B04">
              <w:rPr>
                <w:rFonts w:ascii="Arial" w:hAnsi="Arial" w:cs="Arial"/>
                <w:b/>
                <w:bCs/>
              </w:rPr>
              <w:t>2</w:t>
            </w:r>
          </w:p>
        </w:tc>
        <w:tc>
          <w:tcPr>
            <w:tcW w:w="2170" w:type="dxa"/>
          </w:tcPr>
          <w:p w14:paraId="0452B8FC" w14:textId="77777777" w:rsidR="0007572A" w:rsidRDefault="0007572A" w:rsidP="00FD1848">
            <w:pPr>
              <w:rPr>
                <w:rFonts w:ascii="Arial" w:hAnsi="Arial" w:cs="Arial"/>
              </w:rPr>
            </w:pPr>
            <w:r>
              <w:rPr>
                <w:rFonts w:ascii="Arial" w:hAnsi="Arial" w:cs="Arial"/>
              </w:rPr>
              <w:t>111</w:t>
            </w:r>
          </w:p>
        </w:tc>
        <w:tc>
          <w:tcPr>
            <w:tcW w:w="1848" w:type="dxa"/>
          </w:tcPr>
          <w:p w14:paraId="748F5A55" w14:textId="77777777" w:rsidR="0007572A" w:rsidRDefault="0007572A" w:rsidP="00FD1848">
            <w:pPr>
              <w:rPr>
                <w:rFonts w:ascii="Arial" w:hAnsi="Arial" w:cs="Arial"/>
              </w:rPr>
            </w:pPr>
            <w:r>
              <w:rPr>
                <w:rFonts w:ascii="Arial" w:hAnsi="Arial" w:cs="Arial"/>
              </w:rPr>
              <w:t>43</w:t>
            </w:r>
          </w:p>
        </w:tc>
        <w:tc>
          <w:tcPr>
            <w:tcW w:w="1849" w:type="dxa"/>
          </w:tcPr>
          <w:p w14:paraId="3A897753" w14:textId="77777777" w:rsidR="0007572A" w:rsidRDefault="0007572A" w:rsidP="00FD1848">
            <w:pPr>
              <w:rPr>
                <w:rFonts w:ascii="Arial" w:hAnsi="Arial" w:cs="Arial"/>
              </w:rPr>
            </w:pPr>
            <w:r>
              <w:rPr>
                <w:rFonts w:ascii="Arial" w:hAnsi="Arial" w:cs="Arial"/>
              </w:rPr>
              <w:t>72%</w:t>
            </w:r>
          </w:p>
        </w:tc>
        <w:tc>
          <w:tcPr>
            <w:tcW w:w="1849" w:type="dxa"/>
          </w:tcPr>
          <w:p w14:paraId="46B37C26" w14:textId="77777777" w:rsidR="0007572A" w:rsidRDefault="0007572A" w:rsidP="00FD1848">
            <w:pPr>
              <w:rPr>
                <w:rFonts w:ascii="Arial" w:hAnsi="Arial" w:cs="Arial"/>
              </w:rPr>
            </w:pPr>
            <w:r>
              <w:rPr>
                <w:rFonts w:ascii="Arial" w:hAnsi="Arial" w:cs="Arial"/>
              </w:rPr>
              <w:t>28%</w:t>
            </w:r>
          </w:p>
        </w:tc>
      </w:tr>
      <w:tr w:rsidR="0007572A" w14:paraId="03AB4E57" w14:textId="77777777" w:rsidTr="00FD1848">
        <w:tc>
          <w:tcPr>
            <w:tcW w:w="1526" w:type="dxa"/>
            <w:shd w:val="clear" w:color="auto" w:fill="A6A6A6" w:themeFill="background1" w:themeFillShade="A6"/>
          </w:tcPr>
          <w:p w14:paraId="3D04AF35" w14:textId="77777777" w:rsidR="0007572A" w:rsidRPr="001C7B04" w:rsidRDefault="0007572A" w:rsidP="00FD1848">
            <w:pPr>
              <w:rPr>
                <w:rFonts w:ascii="Arial" w:hAnsi="Arial" w:cs="Arial"/>
                <w:b/>
                <w:bCs/>
              </w:rPr>
            </w:pPr>
            <w:r w:rsidRPr="001C7B04">
              <w:rPr>
                <w:rFonts w:ascii="Arial" w:hAnsi="Arial" w:cs="Arial"/>
                <w:b/>
                <w:bCs/>
              </w:rPr>
              <w:t>3</w:t>
            </w:r>
          </w:p>
        </w:tc>
        <w:tc>
          <w:tcPr>
            <w:tcW w:w="2170" w:type="dxa"/>
          </w:tcPr>
          <w:p w14:paraId="77C24CB5" w14:textId="77777777" w:rsidR="0007572A" w:rsidRDefault="0007572A" w:rsidP="00FD1848">
            <w:pPr>
              <w:rPr>
                <w:rFonts w:ascii="Arial" w:hAnsi="Arial" w:cs="Arial"/>
              </w:rPr>
            </w:pPr>
            <w:r>
              <w:rPr>
                <w:rFonts w:ascii="Arial" w:hAnsi="Arial" w:cs="Arial"/>
              </w:rPr>
              <w:t>118</w:t>
            </w:r>
          </w:p>
        </w:tc>
        <w:tc>
          <w:tcPr>
            <w:tcW w:w="1848" w:type="dxa"/>
          </w:tcPr>
          <w:p w14:paraId="7405AE64" w14:textId="77777777" w:rsidR="0007572A" w:rsidRDefault="0007572A" w:rsidP="00FD1848">
            <w:pPr>
              <w:rPr>
                <w:rFonts w:ascii="Arial" w:hAnsi="Arial" w:cs="Arial"/>
              </w:rPr>
            </w:pPr>
            <w:r>
              <w:rPr>
                <w:rFonts w:ascii="Arial" w:hAnsi="Arial" w:cs="Arial"/>
              </w:rPr>
              <w:t>36</w:t>
            </w:r>
          </w:p>
        </w:tc>
        <w:tc>
          <w:tcPr>
            <w:tcW w:w="1849" w:type="dxa"/>
          </w:tcPr>
          <w:p w14:paraId="19002F3C" w14:textId="77777777" w:rsidR="0007572A" w:rsidRDefault="0007572A" w:rsidP="00FD1848">
            <w:pPr>
              <w:rPr>
                <w:rFonts w:ascii="Arial" w:hAnsi="Arial" w:cs="Arial"/>
              </w:rPr>
            </w:pPr>
            <w:r>
              <w:rPr>
                <w:rFonts w:ascii="Arial" w:hAnsi="Arial" w:cs="Arial"/>
              </w:rPr>
              <w:t>77%</w:t>
            </w:r>
          </w:p>
        </w:tc>
        <w:tc>
          <w:tcPr>
            <w:tcW w:w="1849" w:type="dxa"/>
          </w:tcPr>
          <w:p w14:paraId="3720E2D8" w14:textId="77777777" w:rsidR="0007572A" w:rsidRDefault="0007572A" w:rsidP="00FD1848">
            <w:pPr>
              <w:rPr>
                <w:rFonts w:ascii="Arial" w:hAnsi="Arial" w:cs="Arial"/>
              </w:rPr>
            </w:pPr>
            <w:r>
              <w:rPr>
                <w:rFonts w:ascii="Arial" w:hAnsi="Arial" w:cs="Arial"/>
              </w:rPr>
              <w:t>23%</w:t>
            </w:r>
          </w:p>
        </w:tc>
      </w:tr>
      <w:tr w:rsidR="0007572A" w14:paraId="762D79C5" w14:textId="77777777" w:rsidTr="00FD1848">
        <w:tc>
          <w:tcPr>
            <w:tcW w:w="1526" w:type="dxa"/>
            <w:shd w:val="clear" w:color="auto" w:fill="A6A6A6" w:themeFill="background1" w:themeFillShade="A6"/>
          </w:tcPr>
          <w:p w14:paraId="5DE91939" w14:textId="77777777" w:rsidR="0007572A" w:rsidRPr="001C7B04" w:rsidRDefault="0007572A" w:rsidP="00FD1848">
            <w:pPr>
              <w:rPr>
                <w:rFonts w:ascii="Arial" w:hAnsi="Arial" w:cs="Arial"/>
                <w:b/>
                <w:bCs/>
              </w:rPr>
            </w:pPr>
            <w:r w:rsidRPr="001C7B04">
              <w:rPr>
                <w:rFonts w:ascii="Arial" w:hAnsi="Arial" w:cs="Arial"/>
                <w:b/>
                <w:bCs/>
              </w:rPr>
              <w:t>4</w:t>
            </w:r>
          </w:p>
        </w:tc>
        <w:tc>
          <w:tcPr>
            <w:tcW w:w="2170" w:type="dxa"/>
          </w:tcPr>
          <w:p w14:paraId="527993B2" w14:textId="77777777" w:rsidR="0007572A" w:rsidRDefault="0007572A" w:rsidP="00FD1848">
            <w:pPr>
              <w:rPr>
                <w:rFonts w:ascii="Arial" w:hAnsi="Arial" w:cs="Arial"/>
              </w:rPr>
            </w:pPr>
            <w:r>
              <w:rPr>
                <w:rFonts w:ascii="Arial" w:hAnsi="Arial" w:cs="Arial"/>
              </w:rPr>
              <w:t>96</w:t>
            </w:r>
          </w:p>
        </w:tc>
        <w:tc>
          <w:tcPr>
            <w:tcW w:w="1848" w:type="dxa"/>
          </w:tcPr>
          <w:p w14:paraId="1D23F466" w14:textId="77777777" w:rsidR="0007572A" w:rsidRDefault="0007572A" w:rsidP="00FD1848">
            <w:pPr>
              <w:rPr>
                <w:rFonts w:ascii="Arial" w:hAnsi="Arial" w:cs="Arial"/>
              </w:rPr>
            </w:pPr>
            <w:r>
              <w:rPr>
                <w:rFonts w:ascii="Arial" w:hAnsi="Arial" w:cs="Arial"/>
              </w:rPr>
              <w:t>58</w:t>
            </w:r>
          </w:p>
        </w:tc>
        <w:tc>
          <w:tcPr>
            <w:tcW w:w="1849" w:type="dxa"/>
          </w:tcPr>
          <w:p w14:paraId="0763B3A4" w14:textId="77777777" w:rsidR="0007572A" w:rsidRDefault="0007572A" w:rsidP="00FD1848">
            <w:pPr>
              <w:rPr>
                <w:rFonts w:ascii="Arial" w:hAnsi="Arial" w:cs="Arial"/>
              </w:rPr>
            </w:pPr>
            <w:r>
              <w:rPr>
                <w:rFonts w:ascii="Arial" w:hAnsi="Arial" w:cs="Arial"/>
              </w:rPr>
              <w:t>62%</w:t>
            </w:r>
          </w:p>
        </w:tc>
        <w:tc>
          <w:tcPr>
            <w:tcW w:w="1849" w:type="dxa"/>
          </w:tcPr>
          <w:p w14:paraId="16EF521A" w14:textId="77777777" w:rsidR="0007572A" w:rsidRDefault="0007572A" w:rsidP="00FD1848">
            <w:pPr>
              <w:rPr>
                <w:rFonts w:ascii="Arial" w:hAnsi="Arial" w:cs="Arial"/>
              </w:rPr>
            </w:pPr>
            <w:r>
              <w:rPr>
                <w:rFonts w:ascii="Arial" w:hAnsi="Arial" w:cs="Arial"/>
              </w:rPr>
              <w:t>38%</w:t>
            </w:r>
          </w:p>
        </w:tc>
      </w:tr>
    </w:tbl>
    <w:p w14:paraId="49A581F6" w14:textId="77777777" w:rsidR="0007572A" w:rsidRDefault="0007572A" w:rsidP="0007572A">
      <w:pPr>
        <w:rPr>
          <w:rFonts w:ascii="Arial" w:hAnsi="Arial" w:cs="Arial"/>
        </w:rPr>
      </w:pPr>
    </w:p>
    <w:p w14:paraId="6D779CE5" w14:textId="77777777" w:rsidR="0007572A" w:rsidRDefault="0007572A" w:rsidP="0007572A"/>
    <w:p w14:paraId="20CAF7ED" w14:textId="77777777" w:rsidR="0007572A" w:rsidRDefault="0007572A" w:rsidP="0007572A"/>
    <w:p w14:paraId="259606F5" w14:textId="77777777" w:rsidR="0007572A" w:rsidRPr="0009562D" w:rsidRDefault="0007572A" w:rsidP="0007572A">
      <w:pPr>
        <w:rPr>
          <w:rFonts w:ascii="Arial" w:hAnsi="Arial" w:cs="Arial"/>
          <w:b/>
          <w:bCs/>
        </w:rPr>
      </w:pPr>
      <w:r w:rsidRPr="0009562D">
        <w:rPr>
          <w:rFonts w:ascii="Arial" w:hAnsi="Arial" w:cs="Arial"/>
          <w:b/>
          <w:bCs/>
        </w:rPr>
        <w:lastRenderedPageBreak/>
        <w:t>Comparison to 2023 Gender Pay Gap Report</w:t>
      </w:r>
    </w:p>
    <w:tbl>
      <w:tblPr>
        <w:tblStyle w:val="TableGrid"/>
        <w:tblW w:w="0" w:type="auto"/>
        <w:tblLook w:val="04A0" w:firstRow="1" w:lastRow="0" w:firstColumn="1" w:lastColumn="0" w:noHBand="0" w:noVBand="1"/>
      </w:tblPr>
      <w:tblGrid>
        <w:gridCol w:w="1381"/>
        <w:gridCol w:w="1936"/>
        <w:gridCol w:w="1935"/>
        <w:gridCol w:w="1789"/>
        <w:gridCol w:w="1975"/>
      </w:tblGrid>
      <w:tr w:rsidR="0007572A" w:rsidRPr="009D5B1A" w14:paraId="1CFA529E" w14:textId="77777777" w:rsidTr="00FD1848">
        <w:tc>
          <w:tcPr>
            <w:tcW w:w="1384" w:type="dxa"/>
            <w:shd w:val="clear" w:color="auto" w:fill="BFBFBF" w:themeFill="background1" w:themeFillShade="BF"/>
          </w:tcPr>
          <w:p w14:paraId="07959FE7" w14:textId="77777777" w:rsidR="0007572A" w:rsidRPr="009D5B1A" w:rsidRDefault="0007572A" w:rsidP="00FD1848">
            <w:pPr>
              <w:rPr>
                <w:rFonts w:ascii="Arial" w:hAnsi="Arial" w:cs="Arial"/>
                <w:b/>
              </w:rPr>
            </w:pPr>
            <w:r w:rsidRPr="009D5B1A">
              <w:rPr>
                <w:rFonts w:ascii="Arial" w:hAnsi="Arial" w:cs="Arial"/>
                <w:b/>
              </w:rPr>
              <w:t>Gender</w:t>
            </w:r>
          </w:p>
        </w:tc>
        <w:tc>
          <w:tcPr>
            <w:tcW w:w="1985" w:type="dxa"/>
            <w:shd w:val="clear" w:color="auto" w:fill="BFBFBF" w:themeFill="background1" w:themeFillShade="BF"/>
          </w:tcPr>
          <w:p w14:paraId="12240B8E" w14:textId="77777777" w:rsidR="0007572A" w:rsidRPr="009D5B1A" w:rsidRDefault="0007572A" w:rsidP="00FD1848">
            <w:pPr>
              <w:rPr>
                <w:rFonts w:ascii="Arial" w:hAnsi="Arial" w:cs="Arial"/>
                <w:b/>
              </w:rPr>
            </w:pPr>
            <w:r w:rsidRPr="009D5B1A">
              <w:rPr>
                <w:rFonts w:ascii="Arial" w:hAnsi="Arial" w:cs="Arial"/>
                <w:b/>
              </w:rPr>
              <w:t xml:space="preserve">Mean </w:t>
            </w:r>
            <w:r>
              <w:rPr>
                <w:rFonts w:ascii="Arial" w:hAnsi="Arial" w:cs="Arial"/>
                <w:b/>
              </w:rPr>
              <w:t xml:space="preserve">(Average) </w:t>
            </w:r>
            <w:r w:rsidRPr="009D5B1A">
              <w:rPr>
                <w:rFonts w:ascii="Arial" w:hAnsi="Arial" w:cs="Arial"/>
                <w:b/>
              </w:rPr>
              <w:t>Hourly Rate</w:t>
            </w:r>
            <w:r>
              <w:rPr>
                <w:rFonts w:ascii="Arial" w:hAnsi="Arial" w:cs="Arial"/>
                <w:b/>
              </w:rPr>
              <w:t xml:space="preserve"> 2023</w:t>
            </w:r>
          </w:p>
        </w:tc>
        <w:tc>
          <w:tcPr>
            <w:tcW w:w="1984" w:type="dxa"/>
            <w:shd w:val="clear" w:color="auto" w:fill="BFBFBF" w:themeFill="background1" w:themeFillShade="BF"/>
          </w:tcPr>
          <w:p w14:paraId="0BDC07A1" w14:textId="77777777" w:rsidR="0007572A" w:rsidRPr="009D5B1A" w:rsidRDefault="0007572A" w:rsidP="00FD1848">
            <w:pPr>
              <w:rPr>
                <w:rFonts w:ascii="Arial" w:hAnsi="Arial" w:cs="Arial"/>
                <w:b/>
              </w:rPr>
            </w:pPr>
            <w:r>
              <w:rPr>
                <w:rFonts w:ascii="Arial" w:hAnsi="Arial" w:cs="Arial"/>
                <w:b/>
              </w:rPr>
              <w:t>Mean (Average) Hourly Rate 2024</w:t>
            </w:r>
          </w:p>
        </w:tc>
        <w:tc>
          <w:tcPr>
            <w:tcW w:w="1845" w:type="dxa"/>
            <w:shd w:val="clear" w:color="auto" w:fill="BFBFBF" w:themeFill="background1" w:themeFillShade="BF"/>
          </w:tcPr>
          <w:p w14:paraId="131D5214" w14:textId="77777777" w:rsidR="0007572A" w:rsidRPr="009D5B1A" w:rsidRDefault="0007572A" w:rsidP="00FD1848">
            <w:pPr>
              <w:rPr>
                <w:rFonts w:ascii="Arial" w:hAnsi="Arial" w:cs="Arial"/>
                <w:b/>
              </w:rPr>
            </w:pPr>
            <w:r w:rsidRPr="009D5B1A">
              <w:rPr>
                <w:rFonts w:ascii="Arial" w:hAnsi="Arial" w:cs="Arial"/>
                <w:b/>
              </w:rPr>
              <w:t>Median Hourly Rate</w:t>
            </w:r>
            <w:r>
              <w:rPr>
                <w:rFonts w:ascii="Arial" w:hAnsi="Arial" w:cs="Arial"/>
                <w:b/>
              </w:rPr>
              <w:t xml:space="preserve"> 2023</w:t>
            </w:r>
          </w:p>
        </w:tc>
        <w:tc>
          <w:tcPr>
            <w:tcW w:w="2044" w:type="dxa"/>
            <w:shd w:val="clear" w:color="auto" w:fill="BFBFBF" w:themeFill="background1" w:themeFillShade="BF"/>
          </w:tcPr>
          <w:p w14:paraId="66E291A5" w14:textId="77777777" w:rsidR="0007572A" w:rsidRPr="009D5B1A" w:rsidRDefault="0007572A" w:rsidP="00FD1848">
            <w:pPr>
              <w:rPr>
                <w:rFonts w:ascii="Arial" w:hAnsi="Arial" w:cs="Arial"/>
                <w:b/>
              </w:rPr>
            </w:pPr>
            <w:r>
              <w:rPr>
                <w:rFonts w:ascii="Arial" w:hAnsi="Arial" w:cs="Arial"/>
                <w:b/>
              </w:rPr>
              <w:t>Median Hourly Rate 2024</w:t>
            </w:r>
          </w:p>
        </w:tc>
      </w:tr>
      <w:tr w:rsidR="0007572A" w:rsidRPr="009D5B1A" w14:paraId="4A18808A" w14:textId="77777777" w:rsidTr="00FD1848">
        <w:tc>
          <w:tcPr>
            <w:tcW w:w="1384" w:type="dxa"/>
          </w:tcPr>
          <w:p w14:paraId="4A402B8C" w14:textId="77777777" w:rsidR="0007572A" w:rsidRPr="009D5B1A" w:rsidRDefault="0007572A" w:rsidP="00FD1848">
            <w:pPr>
              <w:rPr>
                <w:rFonts w:ascii="Arial" w:hAnsi="Arial" w:cs="Arial"/>
              </w:rPr>
            </w:pPr>
            <w:r w:rsidRPr="009D5B1A">
              <w:rPr>
                <w:rFonts w:ascii="Arial" w:hAnsi="Arial" w:cs="Arial"/>
              </w:rPr>
              <w:t>Male</w:t>
            </w:r>
          </w:p>
        </w:tc>
        <w:tc>
          <w:tcPr>
            <w:tcW w:w="1985" w:type="dxa"/>
          </w:tcPr>
          <w:p w14:paraId="1AD383E3" w14:textId="77777777" w:rsidR="0007572A" w:rsidRPr="009D5B1A" w:rsidRDefault="0007572A" w:rsidP="00FD1848">
            <w:pPr>
              <w:tabs>
                <w:tab w:val="center" w:pos="1309"/>
              </w:tabs>
              <w:jc w:val="center"/>
              <w:rPr>
                <w:rFonts w:ascii="Arial" w:hAnsi="Arial" w:cs="Arial"/>
              </w:rPr>
            </w:pPr>
            <w:r w:rsidRPr="009D5B1A">
              <w:rPr>
                <w:rFonts w:ascii="Arial" w:hAnsi="Arial" w:cs="Arial"/>
              </w:rPr>
              <w:t>£</w:t>
            </w:r>
            <w:r>
              <w:rPr>
                <w:rFonts w:ascii="Arial" w:hAnsi="Arial" w:cs="Arial"/>
              </w:rPr>
              <w:t>39.43</w:t>
            </w:r>
          </w:p>
        </w:tc>
        <w:tc>
          <w:tcPr>
            <w:tcW w:w="1984" w:type="dxa"/>
          </w:tcPr>
          <w:p w14:paraId="3F774FC4"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43.29</w:t>
            </w:r>
          </w:p>
        </w:tc>
        <w:tc>
          <w:tcPr>
            <w:tcW w:w="1845" w:type="dxa"/>
          </w:tcPr>
          <w:p w14:paraId="5F3BE3CC"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24.81</w:t>
            </w:r>
          </w:p>
        </w:tc>
        <w:tc>
          <w:tcPr>
            <w:tcW w:w="2044" w:type="dxa"/>
          </w:tcPr>
          <w:p w14:paraId="179F01E6" w14:textId="77777777" w:rsidR="0007572A" w:rsidRPr="009D5B1A" w:rsidRDefault="0007572A" w:rsidP="00FD1848">
            <w:pPr>
              <w:jc w:val="center"/>
              <w:rPr>
                <w:rFonts w:ascii="Arial" w:hAnsi="Arial" w:cs="Arial"/>
              </w:rPr>
            </w:pPr>
            <w:r>
              <w:rPr>
                <w:rFonts w:ascii="Arial" w:hAnsi="Arial" w:cs="Arial"/>
              </w:rPr>
              <w:t>£26.05</w:t>
            </w:r>
          </w:p>
        </w:tc>
      </w:tr>
      <w:tr w:rsidR="0007572A" w:rsidRPr="009D5B1A" w14:paraId="4ECBC195" w14:textId="77777777" w:rsidTr="00FD1848">
        <w:tc>
          <w:tcPr>
            <w:tcW w:w="1384" w:type="dxa"/>
          </w:tcPr>
          <w:p w14:paraId="2907F983" w14:textId="77777777" w:rsidR="0007572A" w:rsidRPr="009D5B1A" w:rsidRDefault="0007572A" w:rsidP="00FD1848">
            <w:pPr>
              <w:rPr>
                <w:rFonts w:ascii="Arial" w:hAnsi="Arial" w:cs="Arial"/>
              </w:rPr>
            </w:pPr>
            <w:r w:rsidRPr="009D5B1A">
              <w:rPr>
                <w:rFonts w:ascii="Arial" w:hAnsi="Arial" w:cs="Arial"/>
              </w:rPr>
              <w:t>Female</w:t>
            </w:r>
          </w:p>
        </w:tc>
        <w:tc>
          <w:tcPr>
            <w:tcW w:w="1985" w:type="dxa"/>
          </w:tcPr>
          <w:p w14:paraId="31FBE617"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25.25</w:t>
            </w:r>
          </w:p>
        </w:tc>
        <w:tc>
          <w:tcPr>
            <w:tcW w:w="1984" w:type="dxa"/>
          </w:tcPr>
          <w:p w14:paraId="27B6CF7B"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26.91</w:t>
            </w:r>
          </w:p>
        </w:tc>
        <w:tc>
          <w:tcPr>
            <w:tcW w:w="1845" w:type="dxa"/>
          </w:tcPr>
          <w:p w14:paraId="2B427455"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22.40</w:t>
            </w:r>
          </w:p>
        </w:tc>
        <w:tc>
          <w:tcPr>
            <w:tcW w:w="2044" w:type="dxa"/>
          </w:tcPr>
          <w:p w14:paraId="2F75A1C5" w14:textId="77777777" w:rsidR="0007572A" w:rsidRPr="009D5B1A" w:rsidRDefault="0007572A" w:rsidP="00FD1848">
            <w:pPr>
              <w:jc w:val="center"/>
              <w:rPr>
                <w:rFonts w:ascii="Arial" w:hAnsi="Arial" w:cs="Arial"/>
              </w:rPr>
            </w:pPr>
            <w:r>
              <w:rPr>
                <w:rFonts w:ascii="Arial" w:hAnsi="Arial" w:cs="Arial"/>
              </w:rPr>
              <w:t>23.52</w:t>
            </w:r>
          </w:p>
        </w:tc>
      </w:tr>
      <w:tr w:rsidR="0007572A" w:rsidRPr="009D5B1A" w14:paraId="35661133" w14:textId="77777777" w:rsidTr="00FD1848">
        <w:tc>
          <w:tcPr>
            <w:tcW w:w="1384" w:type="dxa"/>
          </w:tcPr>
          <w:p w14:paraId="79CE41C0" w14:textId="77777777" w:rsidR="0007572A" w:rsidRPr="009D5B1A" w:rsidRDefault="0007572A" w:rsidP="00FD1848">
            <w:pPr>
              <w:rPr>
                <w:rFonts w:ascii="Arial" w:hAnsi="Arial" w:cs="Arial"/>
              </w:rPr>
            </w:pPr>
            <w:r w:rsidRPr="009D5B1A">
              <w:rPr>
                <w:rFonts w:ascii="Arial" w:hAnsi="Arial" w:cs="Arial"/>
              </w:rPr>
              <w:t>Difference</w:t>
            </w:r>
          </w:p>
        </w:tc>
        <w:tc>
          <w:tcPr>
            <w:tcW w:w="1985" w:type="dxa"/>
          </w:tcPr>
          <w:p w14:paraId="78BD4DAB"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14.17</w:t>
            </w:r>
          </w:p>
        </w:tc>
        <w:tc>
          <w:tcPr>
            <w:tcW w:w="1984" w:type="dxa"/>
          </w:tcPr>
          <w:p w14:paraId="1159A11E"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16.38</w:t>
            </w:r>
          </w:p>
        </w:tc>
        <w:tc>
          <w:tcPr>
            <w:tcW w:w="1845" w:type="dxa"/>
          </w:tcPr>
          <w:p w14:paraId="3686C973" w14:textId="77777777" w:rsidR="0007572A" w:rsidRPr="009D5B1A" w:rsidRDefault="0007572A" w:rsidP="00FD1848">
            <w:pPr>
              <w:jc w:val="center"/>
              <w:rPr>
                <w:rFonts w:ascii="Arial" w:hAnsi="Arial" w:cs="Arial"/>
              </w:rPr>
            </w:pPr>
            <w:r w:rsidRPr="009D5B1A">
              <w:rPr>
                <w:rFonts w:ascii="Arial" w:hAnsi="Arial" w:cs="Arial"/>
              </w:rPr>
              <w:t>£</w:t>
            </w:r>
            <w:r>
              <w:rPr>
                <w:rFonts w:ascii="Arial" w:hAnsi="Arial" w:cs="Arial"/>
              </w:rPr>
              <w:t>2.41</w:t>
            </w:r>
          </w:p>
        </w:tc>
        <w:tc>
          <w:tcPr>
            <w:tcW w:w="2044" w:type="dxa"/>
          </w:tcPr>
          <w:p w14:paraId="6BEB1A8A" w14:textId="77777777" w:rsidR="0007572A" w:rsidRPr="009D5B1A" w:rsidRDefault="0007572A" w:rsidP="00FD1848">
            <w:pPr>
              <w:jc w:val="center"/>
              <w:rPr>
                <w:rFonts w:ascii="Arial" w:hAnsi="Arial" w:cs="Arial"/>
              </w:rPr>
            </w:pPr>
            <w:r>
              <w:rPr>
                <w:rFonts w:ascii="Arial" w:hAnsi="Arial" w:cs="Arial"/>
              </w:rPr>
              <w:t>2.53</w:t>
            </w:r>
          </w:p>
        </w:tc>
      </w:tr>
      <w:tr w:rsidR="0007572A" w:rsidRPr="009D5B1A" w14:paraId="4A0D1E3E" w14:textId="77777777" w:rsidTr="00FD1848">
        <w:tc>
          <w:tcPr>
            <w:tcW w:w="1384" w:type="dxa"/>
          </w:tcPr>
          <w:p w14:paraId="27AEAF1D" w14:textId="77777777" w:rsidR="0007572A" w:rsidRPr="009D5B1A" w:rsidRDefault="0007572A" w:rsidP="00FD1848">
            <w:pPr>
              <w:rPr>
                <w:rFonts w:ascii="Arial" w:hAnsi="Arial" w:cs="Arial"/>
              </w:rPr>
            </w:pPr>
            <w:r w:rsidRPr="009D5B1A">
              <w:rPr>
                <w:rFonts w:ascii="Arial" w:hAnsi="Arial" w:cs="Arial"/>
              </w:rPr>
              <w:t>Pay Gap Percentage</w:t>
            </w:r>
          </w:p>
        </w:tc>
        <w:tc>
          <w:tcPr>
            <w:tcW w:w="1985" w:type="dxa"/>
          </w:tcPr>
          <w:p w14:paraId="7380C05A" w14:textId="77777777" w:rsidR="0007572A" w:rsidRPr="009D5B1A" w:rsidRDefault="0007572A" w:rsidP="00FD1848">
            <w:pPr>
              <w:jc w:val="center"/>
              <w:rPr>
                <w:rFonts w:ascii="Arial" w:hAnsi="Arial" w:cs="Arial"/>
              </w:rPr>
            </w:pPr>
            <w:r>
              <w:rPr>
                <w:rFonts w:ascii="Arial" w:hAnsi="Arial" w:cs="Arial"/>
              </w:rPr>
              <w:t>35.95</w:t>
            </w:r>
            <w:r w:rsidRPr="009D5B1A">
              <w:rPr>
                <w:rFonts w:ascii="Arial" w:hAnsi="Arial" w:cs="Arial"/>
              </w:rPr>
              <w:t>%</w:t>
            </w:r>
          </w:p>
        </w:tc>
        <w:tc>
          <w:tcPr>
            <w:tcW w:w="1984" w:type="dxa"/>
          </w:tcPr>
          <w:p w14:paraId="2D602E37" w14:textId="77777777" w:rsidR="0007572A" w:rsidRDefault="0007572A" w:rsidP="00FD1848">
            <w:pPr>
              <w:jc w:val="center"/>
              <w:rPr>
                <w:rFonts w:ascii="Arial" w:hAnsi="Arial" w:cs="Arial"/>
              </w:rPr>
            </w:pPr>
            <w:r>
              <w:rPr>
                <w:rFonts w:ascii="Arial" w:hAnsi="Arial" w:cs="Arial"/>
              </w:rPr>
              <w:t>37.84</w:t>
            </w:r>
            <w:r w:rsidRPr="009D5B1A">
              <w:rPr>
                <w:rFonts w:ascii="Arial" w:hAnsi="Arial" w:cs="Arial"/>
              </w:rPr>
              <w:t>%</w:t>
            </w:r>
          </w:p>
        </w:tc>
        <w:tc>
          <w:tcPr>
            <w:tcW w:w="1845" w:type="dxa"/>
          </w:tcPr>
          <w:p w14:paraId="5DD9AEA6" w14:textId="77777777" w:rsidR="0007572A" w:rsidRPr="009D5B1A" w:rsidRDefault="0007572A" w:rsidP="00FD1848">
            <w:pPr>
              <w:jc w:val="center"/>
              <w:rPr>
                <w:rFonts w:ascii="Arial" w:hAnsi="Arial" w:cs="Arial"/>
              </w:rPr>
            </w:pPr>
            <w:r>
              <w:rPr>
                <w:rFonts w:ascii="Arial" w:hAnsi="Arial" w:cs="Arial"/>
              </w:rPr>
              <w:t>9.72</w:t>
            </w:r>
            <w:r w:rsidRPr="009D5B1A">
              <w:rPr>
                <w:rFonts w:ascii="Arial" w:hAnsi="Arial" w:cs="Arial"/>
              </w:rPr>
              <w:t>%</w:t>
            </w:r>
          </w:p>
        </w:tc>
        <w:tc>
          <w:tcPr>
            <w:tcW w:w="2044" w:type="dxa"/>
          </w:tcPr>
          <w:p w14:paraId="030DF8C4" w14:textId="77777777" w:rsidR="0007572A" w:rsidRDefault="0007572A" w:rsidP="00FD1848">
            <w:pPr>
              <w:jc w:val="center"/>
              <w:rPr>
                <w:rFonts w:ascii="Arial" w:hAnsi="Arial" w:cs="Arial"/>
              </w:rPr>
            </w:pPr>
            <w:r>
              <w:rPr>
                <w:rFonts w:ascii="Arial" w:hAnsi="Arial" w:cs="Arial"/>
              </w:rPr>
              <w:t>9.72</w:t>
            </w:r>
            <w:r w:rsidRPr="009D5B1A">
              <w:rPr>
                <w:rFonts w:ascii="Arial" w:hAnsi="Arial" w:cs="Arial"/>
              </w:rPr>
              <w:t>%</w:t>
            </w:r>
          </w:p>
        </w:tc>
      </w:tr>
    </w:tbl>
    <w:p w14:paraId="07719D30" w14:textId="77777777" w:rsidR="00967BF0" w:rsidRDefault="00967BF0"/>
    <w:sectPr w:rsidR="00967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30D57"/>
    <w:multiLevelType w:val="multilevel"/>
    <w:tmpl w:val="5860DE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ascii="Arial" w:eastAsiaTheme="minorHAnsi" w:hAnsi="Arial" w:cs="Arial"/>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3358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A"/>
    <w:rsid w:val="000375E0"/>
    <w:rsid w:val="0007572A"/>
    <w:rsid w:val="00967BF0"/>
    <w:rsid w:val="00DF1889"/>
    <w:rsid w:val="00E4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CE0B"/>
  <w15:chartTrackingRefBased/>
  <w15:docId w15:val="{D60E9648-39FF-4DE1-A461-A04107B4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2A"/>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72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7572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7572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nhis.local\pct\N&amp;N%20CCG\HR%20OD\GNCCP\Equality%20Diversity%20Inclusion\Gender%20&amp;%20Ethnicity%20Pay%20Ga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Females and Males in Each Quartile </a:t>
            </a:r>
          </a:p>
        </c:rich>
      </c:tx>
      <c:layout>
        <c:manualLayout>
          <c:xMode val="edge"/>
          <c:yMode val="edge"/>
          <c:x val="0.1148055555555555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Sheet1!$F$3</c:f>
              <c:strCache>
                <c:ptCount val="1"/>
                <c:pt idx="0">
                  <c:v>Female</c:v>
                </c:pt>
              </c:strCache>
            </c:strRef>
          </c:tx>
          <c:spPr>
            <a:solidFill>
              <a:srgbClr val="0070C0"/>
            </a:solidFill>
            <a:ln>
              <a:noFill/>
            </a:ln>
            <a:effectLst/>
          </c:spPr>
          <c:invertIfNegative val="0"/>
          <c:cat>
            <c:strRef>
              <c:f>Sheet1!$E$4:$E$7</c:f>
              <c:strCache>
                <c:ptCount val="4"/>
                <c:pt idx="0">
                  <c:v>Quartile 1</c:v>
                </c:pt>
                <c:pt idx="1">
                  <c:v>Quartile 2</c:v>
                </c:pt>
                <c:pt idx="2">
                  <c:v>Quartile 3</c:v>
                </c:pt>
                <c:pt idx="3">
                  <c:v>Quartile 4</c:v>
                </c:pt>
              </c:strCache>
            </c:strRef>
          </c:cat>
          <c:val>
            <c:numRef>
              <c:f>Sheet1!$F$4:$F$7</c:f>
              <c:numCache>
                <c:formatCode>0.00</c:formatCode>
                <c:ptCount val="4"/>
                <c:pt idx="0">
                  <c:v>134</c:v>
                </c:pt>
                <c:pt idx="1">
                  <c:v>111</c:v>
                </c:pt>
                <c:pt idx="2">
                  <c:v>118</c:v>
                </c:pt>
                <c:pt idx="3">
                  <c:v>96</c:v>
                </c:pt>
              </c:numCache>
            </c:numRef>
          </c:val>
          <c:extLst>
            <c:ext xmlns:c16="http://schemas.microsoft.com/office/drawing/2014/chart" uri="{C3380CC4-5D6E-409C-BE32-E72D297353CC}">
              <c16:uniqueId val="{00000000-9F69-4EB2-BF7F-31AED8F15FD8}"/>
            </c:ext>
          </c:extLst>
        </c:ser>
        <c:ser>
          <c:idx val="1"/>
          <c:order val="1"/>
          <c:tx>
            <c:strRef>
              <c:f>Sheet1!$G$3</c:f>
              <c:strCache>
                <c:ptCount val="1"/>
                <c:pt idx="0">
                  <c:v>Male</c:v>
                </c:pt>
              </c:strCache>
            </c:strRef>
          </c:tx>
          <c:spPr>
            <a:solidFill>
              <a:srgbClr val="FF0000"/>
            </a:solidFill>
            <a:ln>
              <a:noFill/>
            </a:ln>
            <a:effectLst/>
          </c:spPr>
          <c:invertIfNegative val="0"/>
          <c:cat>
            <c:strRef>
              <c:f>Sheet1!$E$4:$E$7</c:f>
              <c:strCache>
                <c:ptCount val="4"/>
                <c:pt idx="0">
                  <c:v>Quartile 1</c:v>
                </c:pt>
                <c:pt idx="1">
                  <c:v>Quartile 2</c:v>
                </c:pt>
                <c:pt idx="2">
                  <c:v>Quartile 3</c:v>
                </c:pt>
                <c:pt idx="3">
                  <c:v>Quartile 4</c:v>
                </c:pt>
              </c:strCache>
            </c:strRef>
          </c:cat>
          <c:val>
            <c:numRef>
              <c:f>Sheet1!$G$4:$G$7</c:f>
              <c:numCache>
                <c:formatCode>0.00</c:formatCode>
                <c:ptCount val="4"/>
                <c:pt idx="0">
                  <c:v>20</c:v>
                </c:pt>
                <c:pt idx="1">
                  <c:v>43</c:v>
                </c:pt>
                <c:pt idx="2">
                  <c:v>36</c:v>
                </c:pt>
                <c:pt idx="3">
                  <c:v>58</c:v>
                </c:pt>
              </c:numCache>
            </c:numRef>
          </c:val>
          <c:extLst>
            <c:ext xmlns:c16="http://schemas.microsoft.com/office/drawing/2014/chart" uri="{C3380CC4-5D6E-409C-BE32-E72D297353CC}">
              <c16:uniqueId val="{00000001-9F69-4EB2-BF7F-31AED8F15FD8}"/>
            </c:ext>
          </c:extLst>
        </c:ser>
        <c:dLbls>
          <c:showLegendKey val="0"/>
          <c:showVal val="0"/>
          <c:showCatName val="0"/>
          <c:showSerName val="0"/>
          <c:showPercent val="0"/>
          <c:showBubbleSize val="0"/>
        </c:dLbls>
        <c:gapWidth val="219"/>
        <c:overlap val="-27"/>
        <c:axId val="652525583"/>
        <c:axId val="593111519"/>
      </c:barChart>
      <c:catAx>
        <c:axId val="652525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111519"/>
        <c:crosses val="autoZero"/>
        <c:auto val="1"/>
        <c:lblAlgn val="ctr"/>
        <c:lblOffset val="100"/>
        <c:noMultiLvlLbl val="0"/>
      </c:catAx>
      <c:valAx>
        <c:axId val="5931115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525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WARING, Gemma (NHS NOTTINGHAM AND NOTTINGHAMSHIRE ICB - 52R)</dc:creator>
  <cp:keywords/>
  <dc:description/>
  <cp:lastModifiedBy>WARING, Gemma (NHS NOTTINGHAM AND NOTTINGHAMSHIRE ICB - 52R)</cp:lastModifiedBy>
  <cp:revision>2</cp:revision>
  <dcterms:created xsi:type="dcterms:W3CDTF">2024-11-08T10:17:00Z</dcterms:created>
  <dcterms:modified xsi:type="dcterms:W3CDTF">2024-11-08T11:48:00Z</dcterms:modified>
</cp:coreProperties>
</file>