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4395"/>
        <w:gridCol w:w="2409"/>
        <w:gridCol w:w="3119"/>
        <w:gridCol w:w="283"/>
        <w:gridCol w:w="284"/>
        <w:gridCol w:w="283"/>
        <w:gridCol w:w="284"/>
      </w:tblGrid>
      <w:tr w:rsidR="0032129D" w:rsidRPr="00772BFA" w14:paraId="0BB45EF8" w14:textId="77777777" w:rsidTr="00A860B7">
        <w:tc>
          <w:tcPr>
            <w:tcW w:w="510" w:type="dxa"/>
            <w:shd w:val="clear" w:color="auto" w:fill="4472C4" w:themeFill="accent1"/>
            <w:vAlign w:val="center"/>
          </w:tcPr>
          <w:p w14:paraId="150BC9B3" w14:textId="4C159DA1" w:rsidR="0032129D" w:rsidRPr="00772BFA" w:rsidRDefault="0032129D" w:rsidP="00157CF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2BFA">
              <w:rPr>
                <w:rFonts w:cstheme="minorHAnsi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320" w:type="dxa"/>
            <w:shd w:val="clear" w:color="auto" w:fill="4472C4" w:themeFill="accent1"/>
            <w:vAlign w:val="center"/>
          </w:tcPr>
          <w:p w14:paraId="0045843D" w14:textId="7773372F" w:rsidR="0032129D" w:rsidRPr="00772BFA" w:rsidRDefault="0032129D" w:rsidP="00157CF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2BFA">
              <w:rPr>
                <w:rFonts w:cstheme="minorHAnsi"/>
                <w:b/>
                <w:bCs/>
                <w:color w:val="FFFFFF" w:themeColor="background1"/>
              </w:rPr>
              <w:t>Objective</w:t>
            </w:r>
          </w:p>
        </w:tc>
        <w:tc>
          <w:tcPr>
            <w:tcW w:w="4395" w:type="dxa"/>
            <w:shd w:val="clear" w:color="auto" w:fill="4472C4" w:themeFill="accent1"/>
            <w:vAlign w:val="center"/>
          </w:tcPr>
          <w:p w14:paraId="05EED215" w14:textId="423D68C1" w:rsidR="0032129D" w:rsidRPr="00772BFA" w:rsidRDefault="0032129D" w:rsidP="00157CF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2BFA">
              <w:rPr>
                <w:rFonts w:cstheme="minorHAnsi"/>
                <w:b/>
                <w:bCs/>
                <w:color w:val="FFFFFF" w:themeColor="background1"/>
              </w:rPr>
              <w:t>Specific Action</w:t>
            </w:r>
          </w:p>
        </w:tc>
        <w:tc>
          <w:tcPr>
            <w:tcW w:w="2409" w:type="dxa"/>
            <w:shd w:val="clear" w:color="auto" w:fill="4472C4" w:themeFill="accent1"/>
            <w:vAlign w:val="center"/>
          </w:tcPr>
          <w:p w14:paraId="73EE67D2" w14:textId="6A97E553" w:rsidR="0032129D" w:rsidRPr="00772BFA" w:rsidRDefault="0032129D" w:rsidP="00157CF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2BFA">
              <w:rPr>
                <w:rFonts w:cstheme="minorHAnsi"/>
                <w:b/>
                <w:bCs/>
                <w:color w:val="FFFFFF" w:themeColor="background1"/>
              </w:rPr>
              <w:t>Timeline</w:t>
            </w:r>
          </w:p>
        </w:tc>
        <w:tc>
          <w:tcPr>
            <w:tcW w:w="3119" w:type="dxa"/>
            <w:shd w:val="clear" w:color="auto" w:fill="4472C4" w:themeFill="accent1"/>
            <w:vAlign w:val="center"/>
          </w:tcPr>
          <w:p w14:paraId="1C11DC73" w14:textId="04F97AE3" w:rsidR="0032129D" w:rsidRPr="00772BFA" w:rsidRDefault="0032129D" w:rsidP="00157CF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2BFA">
              <w:rPr>
                <w:rFonts w:cstheme="minorHAnsi"/>
                <w:b/>
                <w:bCs/>
                <w:color w:val="FFFFFF" w:themeColor="background1"/>
              </w:rPr>
              <w:t>Indicators of Improvement</w:t>
            </w:r>
          </w:p>
        </w:tc>
        <w:tc>
          <w:tcPr>
            <w:tcW w:w="1134" w:type="dxa"/>
            <w:gridSpan w:val="4"/>
            <w:shd w:val="clear" w:color="auto" w:fill="4472C4" w:themeFill="accent1"/>
            <w:vAlign w:val="center"/>
          </w:tcPr>
          <w:p w14:paraId="5073F615" w14:textId="5456A8B5" w:rsidR="0032129D" w:rsidRPr="00772BFA" w:rsidRDefault="0032129D" w:rsidP="00157CF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2BFA">
              <w:rPr>
                <w:rFonts w:cstheme="minorHAnsi"/>
                <w:b/>
                <w:bCs/>
                <w:color w:val="FFFFFF" w:themeColor="background1"/>
              </w:rPr>
              <w:t>RAG</w:t>
            </w:r>
          </w:p>
        </w:tc>
      </w:tr>
      <w:tr w:rsidR="00A860B7" w:rsidRPr="00EB181F" w14:paraId="6D309DDA" w14:textId="77777777" w:rsidTr="00A860B7">
        <w:tc>
          <w:tcPr>
            <w:tcW w:w="510" w:type="dxa"/>
            <w:shd w:val="clear" w:color="auto" w:fill="4472C4" w:themeFill="accent1"/>
          </w:tcPr>
          <w:p w14:paraId="21AC13AE" w14:textId="76051773" w:rsidR="00A860B7" w:rsidRPr="00EB181F" w:rsidRDefault="00A860B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B181F">
              <w:rPr>
                <w:rFonts w:cstheme="minorHAnsi"/>
                <w:b/>
                <w:bCs/>
                <w:color w:val="FFFFFF" w:themeColor="background1"/>
              </w:rPr>
              <w:t>1.0</w:t>
            </w:r>
          </w:p>
        </w:tc>
        <w:tc>
          <w:tcPr>
            <w:tcW w:w="13377" w:type="dxa"/>
            <w:gridSpan w:val="8"/>
            <w:shd w:val="clear" w:color="auto" w:fill="4472C4" w:themeFill="accent1"/>
          </w:tcPr>
          <w:p w14:paraId="10795C84" w14:textId="77777777" w:rsidR="00A860B7" w:rsidRDefault="00A860B7" w:rsidP="001A6E74">
            <w:pPr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905CF5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Leadership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and Development</w:t>
            </w:r>
          </w:p>
          <w:p w14:paraId="42DB2BEB" w14:textId="211027E5" w:rsidR="00A860B7" w:rsidRPr="00905CF5" w:rsidRDefault="00A860B7" w:rsidP="001A6E74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05CF5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Goal: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Increase diversity in leadership and ensure leaders are trained in inclusive practices</w:t>
            </w:r>
            <w:r w:rsidRPr="00905CF5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.</w:t>
            </w:r>
          </w:p>
        </w:tc>
      </w:tr>
      <w:tr w:rsidR="00A0199F" w:rsidRPr="00EB181F" w14:paraId="54E32E9E" w14:textId="77777777" w:rsidTr="00A860B7">
        <w:tc>
          <w:tcPr>
            <w:tcW w:w="510" w:type="dxa"/>
            <w:shd w:val="clear" w:color="auto" w:fill="4472C4" w:themeFill="accent1"/>
          </w:tcPr>
          <w:p w14:paraId="1126E119" w14:textId="7EF62C89" w:rsidR="00A0199F" w:rsidRPr="00EB181F" w:rsidRDefault="00A0199F" w:rsidP="00DC54F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1.1</w:t>
            </w:r>
          </w:p>
        </w:tc>
        <w:tc>
          <w:tcPr>
            <w:tcW w:w="2320" w:type="dxa"/>
            <w:shd w:val="clear" w:color="auto" w:fill="4472C4" w:themeFill="accent1"/>
          </w:tcPr>
          <w:p w14:paraId="1B96498F" w14:textId="7EB54E23" w:rsidR="00A0199F" w:rsidRPr="0030547A" w:rsidRDefault="00A0199F" w:rsidP="0099045F">
            <w:pPr>
              <w:pStyle w:val="TableParagraph"/>
              <w:ind w:left="139" w:right="349"/>
              <w:rPr>
                <w:rFonts w:asciiTheme="minorHAnsi" w:eastAsiaTheme="minorHAnsi" w:hAnsiTheme="minorHAnsi" w:cstheme="minorHAnsi"/>
                <w:b/>
                <w:color w:val="FFFFFF"/>
                <w:lang w:eastAsia="en-US" w:bidi="ar-SA"/>
              </w:rPr>
            </w:pPr>
            <w:r w:rsidRPr="0030547A">
              <w:rPr>
                <w:rFonts w:asciiTheme="minorHAnsi" w:eastAsiaTheme="minorHAnsi" w:hAnsiTheme="minorHAnsi" w:cstheme="minorHAnsi"/>
                <w:b/>
                <w:color w:val="FFFFFF"/>
                <w:lang w:eastAsia="en-US" w:bidi="ar-SA"/>
              </w:rPr>
              <w:t>Annual Appraisal Integration</w:t>
            </w:r>
          </w:p>
        </w:tc>
        <w:tc>
          <w:tcPr>
            <w:tcW w:w="4395" w:type="dxa"/>
          </w:tcPr>
          <w:p w14:paraId="491EA4CC" w14:textId="2789C587" w:rsidR="00A0199F" w:rsidRPr="00900CD0" w:rsidRDefault="00A0199F" w:rsidP="007C657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 xml:space="preserve">Integrate </w:t>
            </w:r>
            <w:r>
              <w:t>disability inclusion and diversity metrics</w:t>
            </w:r>
            <w:r w:rsidRPr="00900CD0">
              <w:rPr>
                <w:rFonts w:eastAsia="Times New Roman" w:cstheme="minorHAnsi"/>
                <w:lang w:eastAsia="en-GB"/>
              </w:rPr>
              <w:t xml:space="preserve"> into the annual appraisals of </w:t>
            </w:r>
            <w:r>
              <w:t>leaders to encourage accountability</w:t>
            </w:r>
          </w:p>
          <w:p w14:paraId="1CB508AD" w14:textId="77777777" w:rsidR="00A0199F" w:rsidRPr="00900CD0" w:rsidRDefault="00A0199F" w:rsidP="007C657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Conduct training for appraisal managers to ensure they can assess EDI-related performance.</w:t>
            </w:r>
          </w:p>
          <w:p w14:paraId="6F90C5BE" w14:textId="77777777" w:rsidR="00A0199F" w:rsidRPr="00EB181F" w:rsidRDefault="00A0199F" w:rsidP="00DC54FB">
            <w:pPr>
              <w:widowControl w:val="0"/>
              <w:autoSpaceDE w:val="0"/>
              <w:autoSpaceDN w:val="0"/>
              <w:ind w:left="108" w:right="194"/>
              <w:rPr>
                <w:rFonts w:cstheme="minorHAnsi"/>
              </w:rPr>
            </w:pPr>
          </w:p>
        </w:tc>
        <w:tc>
          <w:tcPr>
            <w:tcW w:w="2409" w:type="dxa"/>
            <w:vMerge w:val="restart"/>
          </w:tcPr>
          <w:p w14:paraId="50B1C682" w14:textId="43B92770" w:rsidR="00A0199F" w:rsidRPr="00E925FD" w:rsidRDefault="00A0199F" w:rsidP="00A0199F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10558">
              <w:rPr>
                <w:rFonts w:eastAsia="Times New Roman" w:cstheme="minorHAnsi"/>
                <w:b/>
                <w:bCs/>
                <w:lang w:eastAsia="en-GB"/>
              </w:rPr>
              <w:t>Q1:</w:t>
            </w:r>
            <w:r w:rsidR="00910558">
              <w:rPr>
                <w:rFonts w:eastAsia="Times New Roman" w:cstheme="minorHAnsi"/>
                <w:lang w:eastAsia="en-GB"/>
              </w:rPr>
              <w:t xml:space="preserve"> </w:t>
            </w:r>
            <w:r w:rsidR="00BF3A9C" w:rsidRPr="00E925FD">
              <w:rPr>
                <w:rFonts w:eastAsia="Times New Roman" w:cstheme="minorHAnsi"/>
                <w:lang w:eastAsia="en-GB"/>
              </w:rPr>
              <w:t>Analyse</w:t>
            </w:r>
            <w:r w:rsidR="00BF3A9C" w:rsidRPr="009D01B6">
              <w:rPr>
                <w:rFonts w:eastAsia="Times New Roman" w:cstheme="minorHAnsi"/>
                <w:lang w:eastAsia="en-GB"/>
              </w:rPr>
              <w:t xml:space="preserve"> organi</w:t>
            </w:r>
            <w:r w:rsidR="00BF3A9C" w:rsidRPr="00E925FD">
              <w:rPr>
                <w:rFonts w:eastAsia="Times New Roman" w:cstheme="minorHAnsi"/>
                <w:lang w:eastAsia="en-GB"/>
              </w:rPr>
              <w:t>s</w:t>
            </w:r>
            <w:r w:rsidR="00BF3A9C" w:rsidRPr="009D01B6">
              <w:rPr>
                <w:rFonts w:eastAsia="Times New Roman" w:cstheme="minorHAnsi"/>
                <w:lang w:eastAsia="en-GB"/>
              </w:rPr>
              <w:t>ational data to identify gaps in representation at leadership levels</w:t>
            </w:r>
            <w:r w:rsidR="00BF3A9C" w:rsidRPr="00E925FD">
              <w:rPr>
                <w:rFonts w:eastAsia="Times New Roman" w:cstheme="minorHAnsi"/>
                <w:lang w:eastAsia="en-GB"/>
              </w:rPr>
              <w:t xml:space="preserve"> and e</w:t>
            </w:r>
            <w:r w:rsidR="00BF3A9C" w:rsidRPr="009D01B6">
              <w:rPr>
                <w:rFonts w:eastAsia="Times New Roman" w:cstheme="minorHAnsi"/>
                <w:lang w:eastAsia="en-GB"/>
              </w:rPr>
              <w:t>ngage with BME and disabled colleagues to identify specific barriers to career progression.</w:t>
            </w:r>
            <w:r w:rsidRPr="00E925FD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4F195725" w14:textId="77777777" w:rsidR="00A0199F" w:rsidRPr="00E925FD" w:rsidRDefault="00A0199F" w:rsidP="00A0199F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925FD">
              <w:rPr>
                <w:rFonts w:eastAsia="Times New Roman" w:cstheme="minorHAnsi"/>
                <w:lang w:eastAsia="en-GB"/>
              </w:rPr>
              <w:t>Define EDI objectives and align with the appraisal process.</w:t>
            </w:r>
          </w:p>
          <w:p w14:paraId="7F459896" w14:textId="73B8664A" w:rsidR="00293B54" w:rsidRPr="009D01B6" w:rsidRDefault="00A0199F" w:rsidP="00293B54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10558">
              <w:rPr>
                <w:rFonts w:eastAsia="Times New Roman" w:cstheme="minorHAnsi"/>
                <w:b/>
                <w:bCs/>
                <w:lang w:eastAsia="en-GB"/>
              </w:rPr>
              <w:t>Q2:</w:t>
            </w:r>
            <w:r w:rsidR="00293B54" w:rsidRPr="00E925FD">
              <w:rPr>
                <w:rFonts w:cstheme="minorHAnsi"/>
              </w:rPr>
              <w:t xml:space="preserve"> Develop a structured programme combining leadership skills training, mentorship, and career development workshops ready to pilot Q3 2025/26.</w:t>
            </w:r>
          </w:p>
          <w:p w14:paraId="1A311231" w14:textId="0D0A8261" w:rsidR="00A0199F" w:rsidRPr="00900CD0" w:rsidRDefault="00A0199F" w:rsidP="00A0199F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Begin embedding EDI in appraisals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62EBF665" w14:textId="511062D1" w:rsidR="00293B54" w:rsidRDefault="00A0199F" w:rsidP="00A0199F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10558">
              <w:rPr>
                <w:rFonts w:eastAsia="Times New Roman" w:cstheme="minorHAnsi"/>
                <w:b/>
                <w:bCs/>
                <w:lang w:eastAsia="en-GB"/>
              </w:rPr>
              <w:t>Q3</w:t>
            </w:r>
            <w:r w:rsidR="00293B54" w:rsidRPr="00910558">
              <w:rPr>
                <w:rFonts w:eastAsia="Times New Roman" w:cstheme="minorHAnsi"/>
                <w:b/>
                <w:bCs/>
                <w:lang w:eastAsia="en-GB"/>
              </w:rPr>
              <w:t>:</w:t>
            </w:r>
            <w:r w:rsidR="00E925FD">
              <w:rPr>
                <w:rFonts w:eastAsia="Times New Roman" w:cstheme="minorHAnsi"/>
                <w:lang w:eastAsia="en-GB"/>
              </w:rPr>
              <w:t xml:space="preserve"> Pilot Leadership Development Programmes.</w:t>
            </w:r>
          </w:p>
          <w:p w14:paraId="67939CEB" w14:textId="4CF15F90" w:rsidR="00A0199F" w:rsidRPr="00900CD0" w:rsidRDefault="00A0199F" w:rsidP="00A0199F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10558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Q4:</w:t>
            </w:r>
            <w:r w:rsidRPr="00900CD0">
              <w:rPr>
                <w:rFonts w:eastAsia="Times New Roman" w:cstheme="minorHAnsi"/>
                <w:lang w:eastAsia="en-GB"/>
              </w:rPr>
              <w:t xml:space="preserve"> Evaluate and adjust based on feedback and performance reviews.</w:t>
            </w:r>
          </w:p>
          <w:p w14:paraId="149197C2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3119" w:type="dxa"/>
            <w:vMerge w:val="restart"/>
          </w:tcPr>
          <w:p w14:paraId="7F75FE65" w14:textId="032AFFB3" w:rsidR="00A0199F" w:rsidRDefault="00A0199F" w:rsidP="00A0199F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lastRenderedPageBreak/>
              <w:t>Increase in candidates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692C8D">
              <w:rPr>
                <w:rFonts w:eastAsia="Times New Roman" w:cstheme="minorHAnsi"/>
                <w:lang w:eastAsia="en-GB"/>
              </w:rPr>
              <w:t>from protected groups</w:t>
            </w:r>
            <w:r w:rsidRPr="00900CD0">
              <w:rPr>
                <w:rFonts w:eastAsia="Times New Roman" w:cstheme="minorHAnsi"/>
                <w:lang w:eastAsia="en-GB"/>
              </w:rPr>
              <w:t xml:space="preserve"> applying for and securing leadership roles.</w:t>
            </w:r>
          </w:p>
          <w:p w14:paraId="6CAD6AB1" w14:textId="4B06BDB4" w:rsidR="00A0199F" w:rsidRPr="00900CD0" w:rsidRDefault="000F2A3E" w:rsidP="00A0199F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Increase in the p</w:t>
            </w:r>
            <w:r w:rsidR="00A0199F" w:rsidRPr="00900CD0">
              <w:rPr>
                <w:rFonts w:eastAsia="Times New Roman" w:cstheme="minorHAnsi"/>
                <w:lang w:eastAsia="en-GB"/>
              </w:rPr>
              <w:t>ercentage of leadership with EDI goals embedded in appraisals.</w:t>
            </w:r>
          </w:p>
          <w:p w14:paraId="3077987D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628D52CE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62AE9974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5F41D134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7B039E77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</w:tr>
      <w:tr w:rsidR="00A0199F" w:rsidRPr="00EB181F" w14:paraId="1E6644FB" w14:textId="77777777" w:rsidTr="00A860B7">
        <w:tc>
          <w:tcPr>
            <w:tcW w:w="510" w:type="dxa"/>
            <w:shd w:val="clear" w:color="auto" w:fill="4472C4" w:themeFill="accent1"/>
          </w:tcPr>
          <w:p w14:paraId="5729625F" w14:textId="306E4D61" w:rsidR="00A0199F" w:rsidRPr="00EB181F" w:rsidRDefault="00A0199F" w:rsidP="00DC54F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B181F">
              <w:rPr>
                <w:rFonts w:cstheme="minorHAnsi"/>
                <w:b/>
                <w:bCs/>
                <w:color w:val="FFFFFF" w:themeColor="background1"/>
              </w:rPr>
              <w:t>1.</w:t>
            </w:r>
            <w:r>
              <w:rPr>
                <w:rFonts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20" w:type="dxa"/>
            <w:shd w:val="clear" w:color="auto" w:fill="4472C4" w:themeFill="accent1"/>
          </w:tcPr>
          <w:p w14:paraId="69AFB645" w14:textId="6AF2CD75" w:rsidR="00A0199F" w:rsidRPr="00945B28" w:rsidRDefault="00A0199F" w:rsidP="0099045F">
            <w:pPr>
              <w:pStyle w:val="TableParagraph"/>
              <w:ind w:left="139" w:right="349"/>
              <w:rPr>
                <w:rFonts w:asciiTheme="minorHAnsi" w:eastAsiaTheme="minorHAnsi" w:hAnsiTheme="minorHAnsi" w:cstheme="minorHAnsi"/>
                <w:b/>
                <w:color w:val="FFFFFF"/>
                <w:lang w:eastAsia="en-US" w:bidi="ar-SA"/>
              </w:rPr>
            </w:pPr>
            <w:r w:rsidRPr="00945B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Leadership Development Program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me</w:t>
            </w:r>
            <w:r w:rsidRPr="00945B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395" w:type="dxa"/>
          </w:tcPr>
          <w:p w14:paraId="1AB21A6A" w14:textId="6AAEFF1A" w:rsidR="00A0199F" w:rsidRPr="00900CD0" w:rsidRDefault="003F6984" w:rsidP="00945B28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t>Create tailored</w:t>
            </w:r>
            <w:r w:rsidR="00A0199F">
              <w:t xml:space="preserve"> leadership programmes </w:t>
            </w:r>
            <w:r>
              <w:t>aimed at our</w:t>
            </w:r>
            <w:r w:rsidR="00A0199F">
              <w:t xml:space="preserve"> BME workforce and workforce with LTC/disability, </w:t>
            </w:r>
            <w:r w:rsidR="003A65E5">
              <w:t>providing the tools for</w:t>
            </w:r>
            <w:r w:rsidR="00A0199F">
              <w:t xml:space="preserve"> career progression.</w:t>
            </w:r>
          </w:p>
          <w:p w14:paraId="6D07B7C5" w14:textId="77777777" w:rsidR="00A0199F" w:rsidRDefault="00A0199F" w:rsidP="000358A8">
            <w:pPr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Incorporate mentorship and networking opportunities to support program</w:t>
            </w:r>
            <w:r>
              <w:rPr>
                <w:rFonts w:eastAsia="Times New Roman" w:cstheme="minorHAnsi"/>
                <w:lang w:eastAsia="en-GB"/>
              </w:rPr>
              <w:t>me</w:t>
            </w:r>
            <w:r w:rsidRPr="00900CD0">
              <w:rPr>
                <w:rFonts w:eastAsia="Times New Roman" w:cstheme="minorHAnsi"/>
                <w:lang w:eastAsia="en-GB"/>
              </w:rPr>
              <w:t xml:space="preserve"> participants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14F05427" w14:textId="2FB3C140" w:rsidR="000358A8" w:rsidRPr="00EB181F" w:rsidRDefault="000358A8" w:rsidP="000358A8">
            <w:pPr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3F1CBD60" w14:textId="3ACB2B35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4C99F453" w14:textId="22C6AC42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0F6DAD3D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7D9BC7B6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5C49870E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0BCEFA55" w14:textId="77777777" w:rsidR="00A0199F" w:rsidRPr="00EB181F" w:rsidRDefault="00A0199F" w:rsidP="00DC54FB">
            <w:pPr>
              <w:rPr>
                <w:rFonts w:cstheme="minorHAnsi"/>
              </w:rPr>
            </w:pPr>
          </w:p>
        </w:tc>
      </w:tr>
      <w:tr w:rsidR="00A0199F" w:rsidRPr="00EB181F" w14:paraId="2D02EBFB" w14:textId="77777777" w:rsidTr="00A860B7">
        <w:tc>
          <w:tcPr>
            <w:tcW w:w="510" w:type="dxa"/>
            <w:shd w:val="clear" w:color="auto" w:fill="4472C4" w:themeFill="accent1"/>
          </w:tcPr>
          <w:p w14:paraId="052F544E" w14:textId="6CBDE1B8" w:rsidR="00A0199F" w:rsidRPr="00EB181F" w:rsidRDefault="00A0199F" w:rsidP="00A60709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1.3</w:t>
            </w:r>
          </w:p>
        </w:tc>
        <w:tc>
          <w:tcPr>
            <w:tcW w:w="2320" w:type="dxa"/>
            <w:shd w:val="clear" w:color="auto" w:fill="4472C4" w:themeFill="accent1"/>
          </w:tcPr>
          <w:p w14:paraId="03C1F381" w14:textId="591AC110" w:rsidR="00A0199F" w:rsidRPr="00A26785" w:rsidRDefault="00A0199F" w:rsidP="00A60709">
            <w:pPr>
              <w:pStyle w:val="TableParagraph"/>
              <w:ind w:left="139" w:right="349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A2678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Re</w:t>
            </w:r>
            <w:r w:rsidR="0087213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ciprocal</w:t>
            </w:r>
            <w:r w:rsidRPr="00A2678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 xml:space="preserve"> Mentoring</w:t>
            </w:r>
          </w:p>
        </w:tc>
        <w:tc>
          <w:tcPr>
            <w:tcW w:w="4395" w:type="dxa"/>
          </w:tcPr>
          <w:p w14:paraId="7C9805BD" w14:textId="2C161A3C" w:rsidR="00A0199F" w:rsidRPr="00900CD0" w:rsidRDefault="002D7898" w:rsidP="00A60709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Scope and develop</w:t>
            </w:r>
            <w:r w:rsidR="00A0199F" w:rsidRPr="00900CD0">
              <w:rPr>
                <w:rFonts w:eastAsia="Times New Roman" w:cstheme="minorHAnsi"/>
                <w:lang w:eastAsia="en-GB"/>
              </w:rPr>
              <w:t xml:space="preserve"> re</w:t>
            </w:r>
            <w:r w:rsidR="0087213B">
              <w:rPr>
                <w:rFonts w:eastAsia="Times New Roman" w:cstheme="minorHAnsi"/>
                <w:lang w:eastAsia="en-GB"/>
              </w:rPr>
              <w:t>ciprocal</w:t>
            </w:r>
            <w:r w:rsidR="00A0199F" w:rsidRPr="00900CD0">
              <w:rPr>
                <w:rFonts w:eastAsia="Times New Roman" w:cstheme="minorHAnsi"/>
                <w:lang w:eastAsia="en-GB"/>
              </w:rPr>
              <w:t xml:space="preserve"> mentoring for the Executive Team and Senior </w:t>
            </w:r>
            <w:r w:rsidR="00A0199F">
              <w:rPr>
                <w:rFonts w:eastAsia="Times New Roman" w:cstheme="minorHAnsi"/>
                <w:lang w:eastAsia="en-GB"/>
              </w:rPr>
              <w:t>Leadership Group</w:t>
            </w:r>
            <w:r w:rsidR="00A0199F" w:rsidRPr="00900CD0">
              <w:rPr>
                <w:rFonts w:eastAsia="Times New Roman" w:cstheme="minorHAnsi"/>
                <w:lang w:eastAsia="en-GB"/>
              </w:rPr>
              <w:t xml:space="preserve"> (S</w:t>
            </w:r>
            <w:r w:rsidR="00A0199F">
              <w:rPr>
                <w:rFonts w:eastAsia="Times New Roman" w:cstheme="minorHAnsi"/>
                <w:lang w:eastAsia="en-GB"/>
              </w:rPr>
              <w:t>LG</w:t>
            </w:r>
            <w:r w:rsidR="00A0199F" w:rsidRPr="00900CD0">
              <w:rPr>
                <w:rFonts w:eastAsia="Times New Roman" w:cstheme="minorHAnsi"/>
                <w:lang w:eastAsia="en-GB"/>
              </w:rPr>
              <w:t>) to provide diverse perspectives.</w:t>
            </w:r>
          </w:p>
          <w:p w14:paraId="6F2116AC" w14:textId="11306725" w:rsidR="00A0199F" w:rsidRPr="00900CD0" w:rsidRDefault="00A0199F" w:rsidP="00A60709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 xml:space="preserve">Pair senior leaders with </w:t>
            </w:r>
            <w:r>
              <w:t>workforce from protected groups f</w:t>
            </w:r>
            <w:r w:rsidRPr="00900CD0">
              <w:rPr>
                <w:rFonts w:eastAsia="Times New Roman" w:cstheme="minorHAnsi"/>
                <w:lang w:eastAsia="en-GB"/>
              </w:rPr>
              <w:t>or a structured mentoring experience.</w:t>
            </w:r>
          </w:p>
          <w:p w14:paraId="42A7540F" w14:textId="77777777" w:rsidR="00A0199F" w:rsidRPr="00900CD0" w:rsidRDefault="00A0199F" w:rsidP="00A60709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09" w:type="dxa"/>
            <w:vMerge/>
          </w:tcPr>
          <w:p w14:paraId="3902224C" w14:textId="77777777" w:rsidR="00A0199F" w:rsidRPr="00EB181F" w:rsidRDefault="00A0199F" w:rsidP="00A60709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21EA7D13" w14:textId="77777777" w:rsidR="00A0199F" w:rsidRPr="00EB181F" w:rsidRDefault="00A0199F" w:rsidP="00A60709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45D0C3A7" w14:textId="77777777" w:rsidR="00A0199F" w:rsidRPr="00EB181F" w:rsidRDefault="00A0199F" w:rsidP="00A60709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74EEC178" w14:textId="77777777" w:rsidR="00A0199F" w:rsidRPr="00EB181F" w:rsidRDefault="00A0199F" w:rsidP="00A60709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068116B4" w14:textId="77777777" w:rsidR="00A0199F" w:rsidRPr="00EB181F" w:rsidRDefault="00A0199F" w:rsidP="00A60709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21509F7B" w14:textId="77777777" w:rsidR="00A0199F" w:rsidRPr="00EB181F" w:rsidRDefault="00A0199F" w:rsidP="00A60709">
            <w:pPr>
              <w:rPr>
                <w:rFonts w:cstheme="minorHAnsi"/>
              </w:rPr>
            </w:pPr>
          </w:p>
        </w:tc>
      </w:tr>
      <w:tr w:rsidR="00A860B7" w:rsidRPr="00EB181F" w14:paraId="285C4279" w14:textId="77777777" w:rsidTr="00A860B7">
        <w:tc>
          <w:tcPr>
            <w:tcW w:w="510" w:type="dxa"/>
            <w:shd w:val="clear" w:color="auto" w:fill="4472C4" w:themeFill="accent1"/>
          </w:tcPr>
          <w:p w14:paraId="63031CAB" w14:textId="3ED7CDC9" w:rsidR="00A860B7" w:rsidRPr="00EB181F" w:rsidRDefault="00A860B7" w:rsidP="00A6070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B181F">
              <w:rPr>
                <w:rFonts w:cstheme="minorHAnsi"/>
                <w:b/>
                <w:bCs/>
                <w:color w:val="FFFFFF" w:themeColor="background1"/>
              </w:rPr>
              <w:t>2.0</w:t>
            </w:r>
          </w:p>
        </w:tc>
        <w:tc>
          <w:tcPr>
            <w:tcW w:w="13377" w:type="dxa"/>
            <w:gridSpan w:val="8"/>
            <w:shd w:val="clear" w:color="auto" w:fill="4472C4" w:themeFill="accent1"/>
          </w:tcPr>
          <w:p w14:paraId="34D06677" w14:textId="77777777" w:rsidR="00A860B7" w:rsidRDefault="00A860B7" w:rsidP="00A60709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F20AD2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Fair and Inclusive Recruitment &amp; Talent Management</w:t>
            </w:r>
          </w:p>
          <w:p w14:paraId="7F4C2CB6" w14:textId="0AC74426" w:rsidR="00A860B7" w:rsidRPr="00F20AD2" w:rsidRDefault="00A860B7" w:rsidP="00A60709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Goal</w:t>
            </w:r>
            <w:r w:rsidRPr="00A973B1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: </w:t>
            </w:r>
            <w:r w:rsidRPr="00574264">
              <w:rPr>
                <w:b/>
                <w:bCs/>
                <w:color w:val="FFFFFF" w:themeColor="background1"/>
              </w:rPr>
              <w:t xml:space="preserve">Attract and retain a diverse workforce by ensuring fair and accessible recruitment, as well as progression opportunities for </w:t>
            </w:r>
            <w:r w:rsidR="00D130C8">
              <w:rPr>
                <w:b/>
                <w:bCs/>
                <w:color w:val="FFFFFF" w:themeColor="background1"/>
              </w:rPr>
              <w:t>our workforce</w:t>
            </w:r>
            <w:r w:rsidRPr="0057426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.</w:t>
            </w:r>
          </w:p>
        </w:tc>
      </w:tr>
      <w:tr w:rsidR="0032129D" w:rsidRPr="00EB181F" w14:paraId="3136029F" w14:textId="77777777" w:rsidTr="00A860B7">
        <w:tc>
          <w:tcPr>
            <w:tcW w:w="510" w:type="dxa"/>
            <w:shd w:val="clear" w:color="auto" w:fill="4472C4" w:themeFill="accent1"/>
          </w:tcPr>
          <w:p w14:paraId="766ED546" w14:textId="2FC9DA35" w:rsidR="0032129D" w:rsidRPr="00EB181F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B181F">
              <w:rPr>
                <w:rFonts w:cstheme="minorHAnsi"/>
                <w:b/>
                <w:bCs/>
                <w:color w:val="FFFFFF" w:themeColor="background1"/>
              </w:rPr>
              <w:t>2.1</w:t>
            </w:r>
          </w:p>
        </w:tc>
        <w:tc>
          <w:tcPr>
            <w:tcW w:w="2320" w:type="dxa"/>
            <w:shd w:val="clear" w:color="auto" w:fill="4472C4" w:themeFill="accent1"/>
          </w:tcPr>
          <w:p w14:paraId="14F8DCE9" w14:textId="1A09EB3A" w:rsidR="0032129D" w:rsidRPr="009C090B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C090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Diverse Hiring Panels</w:t>
            </w:r>
          </w:p>
        </w:tc>
        <w:tc>
          <w:tcPr>
            <w:tcW w:w="4395" w:type="dxa"/>
          </w:tcPr>
          <w:p w14:paraId="0991CABE" w14:textId="77777777" w:rsidR="0032129D" w:rsidRPr="00900CD0" w:rsidRDefault="0032129D" w:rsidP="00486B7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Ensure diverse panel members are present in every recruitment process.</w:t>
            </w:r>
          </w:p>
          <w:p w14:paraId="02114D35" w14:textId="5216B57B" w:rsidR="0032129D" w:rsidRDefault="0032129D" w:rsidP="006B69BD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t xml:space="preserve">Track recruitment data to identify any disparities for candidates with </w:t>
            </w:r>
            <w:r w:rsidR="0097661B">
              <w:t>LTC/disability</w:t>
            </w:r>
            <w:r>
              <w:t>.</w:t>
            </w:r>
          </w:p>
          <w:p w14:paraId="72CF452B" w14:textId="77777777" w:rsidR="000358A8" w:rsidRDefault="0032129D" w:rsidP="006B69BD">
            <w:pPr>
              <w:spacing w:before="100" w:beforeAutospacing="1" w:after="100" w:afterAutospacing="1"/>
            </w:pPr>
            <w:r>
              <w:t xml:space="preserve">Implement bias-awareness training for recruiters and hiring managers. </w:t>
            </w:r>
          </w:p>
          <w:p w14:paraId="2A3FA180" w14:textId="002DF17B" w:rsidR="000358A8" w:rsidRPr="000358A8" w:rsidRDefault="000358A8" w:rsidP="006B69BD">
            <w:pPr>
              <w:spacing w:before="100" w:beforeAutospacing="1" w:after="100" w:afterAutospacing="1"/>
            </w:pPr>
          </w:p>
        </w:tc>
        <w:tc>
          <w:tcPr>
            <w:tcW w:w="2409" w:type="dxa"/>
            <w:vMerge w:val="restart"/>
          </w:tcPr>
          <w:p w14:paraId="3424D336" w14:textId="0C1B5240" w:rsidR="0032129D" w:rsidRDefault="0032129D" w:rsidP="00486B7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F6952">
              <w:rPr>
                <w:rFonts w:eastAsia="Times New Roman" w:cstheme="minorHAnsi"/>
                <w:b/>
                <w:bCs/>
                <w:lang w:eastAsia="en-GB"/>
              </w:rPr>
              <w:t>Q1</w:t>
            </w:r>
            <w:r w:rsidRPr="00900CD0">
              <w:rPr>
                <w:rFonts w:eastAsia="Times New Roman" w:cstheme="minorHAnsi"/>
                <w:lang w:eastAsia="en-GB"/>
              </w:rPr>
              <w:t>: Complete recruitment audit and diversify hiring panels.</w:t>
            </w:r>
          </w:p>
          <w:p w14:paraId="6704C5E3" w14:textId="443D76AF" w:rsidR="0032129D" w:rsidRPr="00900CD0" w:rsidRDefault="0032129D" w:rsidP="00486B7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F6952">
              <w:rPr>
                <w:rFonts w:eastAsia="Times New Roman" w:cstheme="minorHAnsi"/>
                <w:b/>
                <w:bCs/>
                <w:lang w:eastAsia="en-GB"/>
              </w:rPr>
              <w:t xml:space="preserve">Q2: </w:t>
            </w:r>
            <w:r w:rsidRPr="00900CD0">
              <w:rPr>
                <w:rFonts w:eastAsia="Times New Roman" w:cstheme="minorHAnsi"/>
                <w:lang w:eastAsia="en-GB"/>
              </w:rPr>
              <w:t xml:space="preserve">Develop and implement specific actions to barriers to </w:t>
            </w:r>
            <w:r>
              <w:t>employees with disabilities</w:t>
            </w:r>
            <w:r w:rsidRPr="00900CD0">
              <w:rPr>
                <w:rFonts w:eastAsia="Times New Roman" w:cstheme="minorHAnsi"/>
                <w:lang w:eastAsia="en-GB"/>
              </w:rPr>
              <w:t>.</w:t>
            </w:r>
          </w:p>
          <w:p w14:paraId="03C7952A" w14:textId="77777777" w:rsidR="0032129D" w:rsidRPr="00900CD0" w:rsidRDefault="0032129D" w:rsidP="00486B7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F6952">
              <w:rPr>
                <w:rFonts w:eastAsia="Times New Roman" w:cstheme="minorHAnsi"/>
                <w:b/>
                <w:bCs/>
                <w:lang w:eastAsia="en-GB"/>
              </w:rPr>
              <w:t xml:space="preserve">Q3: </w:t>
            </w:r>
            <w:r w:rsidRPr="00900CD0">
              <w:rPr>
                <w:rFonts w:eastAsia="Times New Roman" w:cstheme="minorHAnsi"/>
                <w:lang w:eastAsia="en-GB"/>
              </w:rPr>
              <w:t>Review Model Employer data and implement diverse job board strategies.</w:t>
            </w:r>
          </w:p>
          <w:p w14:paraId="78A2F019" w14:textId="0352EC6E" w:rsidR="0032129D" w:rsidRPr="00EB181F" w:rsidRDefault="001808E2" w:rsidP="00486B77">
            <w:pPr>
              <w:rPr>
                <w:rFonts w:cstheme="minorHAnsi"/>
              </w:rPr>
            </w:pPr>
            <w:r w:rsidRPr="00EF6952">
              <w:rPr>
                <w:rFonts w:cstheme="minorHAnsi"/>
                <w:b/>
                <w:bCs/>
              </w:rPr>
              <w:t xml:space="preserve">Q4: </w:t>
            </w:r>
            <w:r w:rsidRPr="001808E2">
              <w:rPr>
                <w:rFonts w:eastAsia="Times New Roman" w:cstheme="minorHAnsi"/>
                <w:lang w:eastAsia="en-GB"/>
              </w:rPr>
              <w:t>Embed new processes through ongoing training, exec sponsorship and quality audits.</w:t>
            </w:r>
          </w:p>
        </w:tc>
        <w:tc>
          <w:tcPr>
            <w:tcW w:w="3119" w:type="dxa"/>
            <w:vMerge w:val="restart"/>
          </w:tcPr>
          <w:p w14:paraId="6368601A" w14:textId="77777777" w:rsidR="0032129D" w:rsidRDefault="0032129D" w:rsidP="00486B7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Recruitment barriers identified and addressed through the audit.</w:t>
            </w:r>
          </w:p>
          <w:p w14:paraId="7611489E" w14:textId="0CD32C97" w:rsidR="0032129D" w:rsidRPr="00900CD0" w:rsidRDefault="0032129D" w:rsidP="00486B7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t xml:space="preserve">Increased percentage of </w:t>
            </w:r>
            <w:r w:rsidR="0097661B">
              <w:t xml:space="preserve">BME applicants and </w:t>
            </w:r>
            <w:r>
              <w:t xml:space="preserve">applicants with </w:t>
            </w:r>
            <w:r w:rsidR="0089521B">
              <w:t>LTC/</w:t>
            </w:r>
            <w:r w:rsidR="0097661B">
              <w:t>d</w:t>
            </w:r>
            <w:r w:rsidR="0089521B">
              <w:t>isability</w:t>
            </w:r>
            <w:r>
              <w:t xml:space="preserve"> successfully recruited.</w:t>
            </w:r>
          </w:p>
          <w:p w14:paraId="1415F364" w14:textId="1188D8FC" w:rsidR="0032129D" w:rsidRDefault="0032129D" w:rsidP="00486B77">
            <w:r>
              <w:t xml:space="preserve">Reduced gaps in progression between employees with </w:t>
            </w:r>
            <w:r w:rsidR="00464F60">
              <w:t>LTC/disability</w:t>
            </w:r>
            <w:r>
              <w:t xml:space="preserve"> compared to non-disabled </w:t>
            </w:r>
            <w:r w:rsidR="00464F60">
              <w:t>workforce</w:t>
            </w:r>
            <w:r>
              <w:t>.</w:t>
            </w:r>
          </w:p>
          <w:p w14:paraId="55615F52" w14:textId="77777777" w:rsidR="00D72E0D" w:rsidRDefault="00D72E0D" w:rsidP="00486B77"/>
          <w:p w14:paraId="1DE1E579" w14:textId="662B3DF0" w:rsidR="00D72E0D" w:rsidRPr="00EB181F" w:rsidRDefault="00D72E0D" w:rsidP="00486B77">
            <w:pPr>
              <w:rPr>
                <w:rFonts w:cstheme="minorHAnsi"/>
              </w:rPr>
            </w:pPr>
            <w:r>
              <w:t xml:space="preserve">Reduced gaps in progression between BME and non-BME </w:t>
            </w:r>
            <w:r w:rsidR="00464F60">
              <w:t>workforce</w:t>
            </w:r>
            <w:r>
              <w:t>.</w:t>
            </w:r>
          </w:p>
        </w:tc>
        <w:tc>
          <w:tcPr>
            <w:tcW w:w="283" w:type="dxa"/>
          </w:tcPr>
          <w:p w14:paraId="20512284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63A5E59D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6E6692B2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7016AE9F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</w:tr>
      <w:tr w:rsidR="0032129D" w:rsidRPr="00EB181F" w14:paraId="335A63CF" w14:textId="77777777" w:rsidTr="00A860B7">
        <w:tc>
          <w:tcPr>
            <w:tcW w:w="510" w:type="dxa"/>
            <w:shd w:val="clear" w:color="auto" w:fill="4472C4" w:themeFill="accent1"/>
          </w:tcPr>
          <w:p w14:paraId="79A7973B" w14:textId="152B5897" w:rsidR="0032129D" w:rsidRPr="00EB181F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2.2</w:t>
            </w:r>
          </w:p>
        </w:tc>
        <w:tc>
          <w:tcPr>
            <w:tcW w:w="2320" w:type="dxa"/>
            <w:shd w:val="clear" w:color="auto" w:fill="4472C4" w:themeFill="accent1"/>
          </w:tcPr>
          <w:p w14:paraId="2D61A740" w14:textId="18B57BBE" w:rsidR="0032129D" w:rsidRPr="009C090B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Internal progression</w:t>
            </w:r>
          </w:p>
        </w:tc>
        <w:tc>
          <w:tcPr>
            <w:tcW w:w="4395" w:type="dxa"/>
          </w:tcPr>
          <w:p w14:paraId="6E26A699" w14:textId="6068FFE5" w:rsidR="0032129D" w:rsidRDefault="0032129D" w:rsidP="00486B77">
            <w:pPr>
              <w:spacing w:before="100" w:beforeAutospacing="1" w:after="100" w:afterAutospacing="1"/>
            </w:pPr>
            <w:r>
              <w:t xml:space="preserve">Monitor internal progression rates of employees with </w:t>
            </w:r>
            <w:r w:rsidR="0097661B">
              <w:t>LTC/disability</w:t>
            </w:r>
            <w:r>
              <w:t xml:space="preserve"> compared to non-disabled employees to ensure equitable progression opportunities.</w:t>
            </w:r>
          </w:p>
          <w:p w14:paraId="7B62EA19" w14:textId="6CC8FEC4" w:rsidR="0097661B" w:rsidRDefault="0097661B" w:rsidP="0097661B">
            <w:pPr>
              <w:spacing w:before="100" w:beforeAutospacing="1" w:after="100" w:afterAutospacing="1"/>
            </w:pPr>
            <w:r>
              <w:t xml:space="preserve">Monitor internal progression rates of BME employees compared to </w:t>
            </w:r>
            <w:r w:rsidR="00436FAB">
              <w:t>non-BME</w:t>
            </w:r>
            <w:r>
              <w:t xml:space="preserve"> employees to ensure equitable progression opportunities.</w:t>
            </w:r>
          </w:p>
          <w:p w14:paraId="661F1F13" w14:textId="0B939E0C" w:rsidR="0032129D" w:rsidRDefault="0032129D" w:rsidP="00486B77">
            <w:pPr>
              <w:spacing w:before="100" w:beforeAutospacing="1" w:after="100" w:afterAutospacing="1"/>
            </w:pPr>
            <w:r>
              <w:t xml:space="preserve">Offer training and skill-building programmes tailored to employees with </w:t>
            </w:r>
            <w:r w:rsidR="00D72E0D">
              <w:t>LTC/disability</w:t>
            </w:r>
            <w:r>
              <w:t xml:space="preserve"> to support their career progression.</w:t>
            </w:r>
          </w:p>
          <w:p w14:paraId="0E1EB6FF" w14:textId="08DE2B2E" w:rsidR="0032129D" w:rsidRDefault="0032129D" w:rsidP="00486B77">
            <w:pPr>
              <w:spacing w:before="100" w:beforeAutospacing="1" w:after="100" w:afterAutospacing="1"/>
            </w:pPr>
            <w:r>
              <w:t xml:space="preserve">Ensure equitable access to progression opportunities and career development plans, </w:t>
            </w:r>
            <w:r>
              <w:lastRenderedPageBreak/>
              <w:t xml:space="preserve">with a focus on removing barriers that might affect employees with </w:t>
            </w:r>
            <w:r w:rsidR="00D72E0D">
              <w:t>LTC/disability</w:t>
            </w:r>
            <w:r>
              <w:t>.</w:t>
            </w:r>
          </w:p>
          <w:p w14:paraId="1659FC9F" w14:textId="379A57CC" w:rsidR="0032129D" w:rsidRPr="00EB181F" w:rsidRDefault="0032129D" w:rsidP="00486B7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65F4DBDA" w14:textId="55C46BEC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7DA32AE2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624515AA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0F5D1592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01112A5B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0A928DE6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</w:tr>
      <w:tr w:rsidR="0032129D" w:rsidRPr="00EB181F" w14:paraId="4CE46D5B" w14:textId="77777777" w:rsidTr="00A860B7">
        <w:tc>
          <w:tcPr>
            <w:tcW w:w="510" w:type="dxa"/>
            <w:shd w:val="clear" w:color="auto" w:fill="4472C4" w:themeFill="accent1"/>
          </w:tcPr>
          <w:p w14:paraId="675181C0" w14:textId="7CF12457" w:rsidR="0032129D" w:rsidRPr="00EB181F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2.3</w:t>
            </w:r>
          </w:p>
        </w:tc>
        <w:tc>
          <w:tcPr>
            <w:tcW w:w="2320" w:type="dxa"/>
            <w:shd w:val="clear" w:color="auto" w:fill="4472C4" w:themeFill="accent1"/>
          </w:tcPr>
          <w:p w14:paraId="3CEB8FEC" w14:textId="4259FE92" w:rsidR="0032129D" w:rsidRPr="009C090B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C090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Recruitment Audit</w:t>
            </w:r>
          </w:p>
        </w:tc>
        <w:tc>
          <w:tcPr>
            <w:tcW w:w="4395" w:type="dxa"/>
          </w:tcPr>
          <w:p w14:paraId="16EFAB0B" w14:textId="31FE82E2" w:rsidR="0032129D" w:rsidRDefault="0032129D" w:rsidP="00486B77">
            <w:r>
              <w:t xml:space="preserve">Review recruitment practices to ensure accessibility, including application platforms, interview locations and assessment methods. </w:t>
            </w:r>
          </w:p>
          <w:p w14:paraId="1BA0CCFB" w14:textId="77777777" w:rsidR="0032129D" w:rsidRDefault="0032129D" w:rsidP="00486B77"/>
          <w:p w14:paraId="56B5231A" w14:textId="136EA870" w:rsidR="0032129D" w:rsidRDefault="0032129D" w:rsidP="00486B77">
            <w:r>
              <w:t>Track diversity data across recruitment stages to identify and address any drop-off points for candidates.</w:t>
            </w:r>
          </w:p>
          <w:p w14:paraId="01A15E43" w14:textId="77777777" w:rsidR="0032129D" w:rsidRDefault="0032129D" w:rsidP="00486B77">
            <w:pPr>
              <w:rPr>
                <w:rFonts w:cstheme="minorHAnsi"/>
              </w:rPr>
            </w:pPr>
          </w:p>
          <w:p w14:paraId="26A9CE77" w14:textId="174098B2" w:rsidR="0032129D" w:rsidRDefault="0032129D" w:rsidP="00927110">
            <w:r>
              <w:t>Review and adjust job descriptions to ensure inclusive language and remove any barriers for applicants.</w:t>
            </w:r>
          </w:p>
          <w:p w14:paraId="33FD1D2A" w14:textId="36DF178D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177A76DE" w14:textId="6008C124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502ED42D" w14:textId="6023FF5F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0D698AD8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250044F5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16621F3B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4D54E510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</w:tr>
      <w:tr w:rsidR="0032129D" w:rsidRPr="00EB181F" w14:paraId="3A7AE1C1" w14:textId="77777777" w:rsidTr="00A860B7">
        <w:tc>
          <w:tcPr>
            <w:tcW w:w="510" w:type="dxa"/>
            <w:shd w:val="clear" w:color="auto" w:fill="4472C4" w:themeFill="accent1"/>
          </w:tcPr>
          <w:p w14:paraId="72440E07" w14:textId="4CE92B11" w:rsidR="0032129D" w:rsidRPr="00EB181F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B181F">
              <w:rPr>
                <w:rFonts w:cstheme="minorHAnsi"/>
                <w:b/>
                <w:bCs/>
                <w:color w:val="FFFFFF" w:themeColor="background1"/>
              </w:rPr>
              <w:t>2.</w:t>
            </w:r>
            <w:r>
              <w:rPr>
                <w:rFonts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320" w:type="dxa"/>
            <w:shd w:val="clear" w:color="auto" w:fill="4472C4" w:themeFill="accent1"/>
          </w:tcPr>
          <w:p w14:paraId="583B7B48" w14:textId="2A1A9EA1" w:rsidR="0032129D" w:rsidRPr="009C090B" w:rsidRDefault="0032129D" w:rsidP="00486B77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Inclusive job advertising</w:t>
            </w:r>
          </w:p>
          <w:p w14:paraId="37DB17CE" w14:textId="70D1E138" w:rsidR="0032129D" w:rsidRPr="009C090B" w:rsidRDefault="0032129D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395" w:type="dxa"/>
          </w:tcPr>
          <w:p w14:paraId="1FA7FD78" w14:textId="3B38BE13" w:rsidR="0032129D" w:rsidRDefault="0032129D" w:rsidP="00486B77">
            <w:pPr>
              <w:rPr>
                <w:rFonts w:cstheme="minorHAnsi"/>
              </w:rPr>
            </w:pPr>
            <w:r>
              <w:t>Ensure all job postings explicitly welcome applicants with disabilities. Highlight the organisation’s commitment to inclusivity and mention available accommodations.</w:t>
            </w:r>
            <w:r w:rsidRPr="00EB181F">
              <w:rPr>
                <w:rFonts w:cstheme="minorHAnsi"/>
              </w:rPr>
              <w:t xml:space="preserve"> </w:t>
            </w:r>
          </w:p>
          <w:p w14:paraId="6B2D1E03" w14:textId="1081FC8E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44C7CD9E" w14:textId="6C44D398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402801F6" w14:textId="039E558E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04404942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31471975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0FA864FD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4A36FC53" w14:textId="77777777" w:rsidR="0032129D" w:rsidRPr="00EB181F" w:rsidRDefault="0032129D" w:rsidP="00486B77">
            <w:pPr>
              <w:rPr>
                <w:rFonts w:cstheme="minorHAnsi"/>
              </w:rPr>
            </w:pPr>
          </w:p>
        </w:tc>
      </w:tr>
      <w:tr w:rsidR="00A860B7" w:rsidRPr="00EB181F" w14:paraId="3F689400" w14:textId="77777777" w:rsidTr="002229F5">
        <w:tc>
          <w:tcPr>
            <w:tcW w:w="510" w:type="dxa"/>
            <w:shd w:val="clear" w:color="auto" w:fill="4472C4" w:themeFill="accent1"/>
          </w:tcPr>
          <w:p w14:paraId="17338EA5" w14:textId="2F151AB9" w:rsidR="00A860B7" w:rsidRPr="000A179A" w:rsidRDefault="00A860B7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A179A">
              <w:rPr>
                <w:rFonts w:cstheme="minorHAnsi"/>
                <w:b/>
                <w:bCs/>
                <w:color w:val="FFFFFF" w:themeColor="background1"/>
              </w:rPr>
              <w:t>3.0</w:t>
            </w:r>
          </w:p>
        </w:tc>
        <w:tc>
          <w:tcPr>
            <w:tcW w:w="13377" w:type="dxa"/>
            <w:gridSpan w:val="8"/>
            <w:shd w:val="clear" w:color="auto" w:fill="4472C4" w:themeFill="accent1"/>
          </w:tcPr>
          <w:p w14:paraId="4AD6B75D" w14:textId="77777777" w:rsidR="00A860B7" w:rsidRDefault="00A860B7" w:rsidP="00486B77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0A179A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Eliminate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Disability</w:t>
            </w:r>
            <w:r w:rsidRPr="000A179A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Pay Gap</w:t>
            </w:r>
          </w:p>
          <w:p w14:paraId="563EB9BE" w14:textId="08DB85C0" w:rsidR="00A860B7" w:rsidRPr="000A179A" w:rsidRDefault="00A860B7" w:rsidP="00486B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A179A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Goal: </w:t>
            </w:r>
            <w:r w:rsidR="00162849" w:rsidRPr="0091081F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Develop strategies to reduce gender, ethnicity and disability pay gaps</w:t>
            </w:r>
            <w:r w:rsidRPr="000A179A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.</w:t>
            </w:r>
          </w:p>
        </w:tc>
      </w:tr>
      <w:tr w:rsidR="004509FE" w:rsidRPr="00EB181F" w14:paraId="3C9A11AB" w14:textId="77777777" w:rsidTr="00A860B7">
        <w:tc>
          <w:tcPr>
            <w:tcW w:w="510" w:type="dxa"/>
            <w:shd w:val="clear" w:color="auto" w:fill="4472C4" w:themeFill="accent1"/>
          </w:tcPr>
          <w:p w14:paraId="0D8A0803" w14:textId="676841FF" w:rsidR="004509FE" w:rsidRPr="000A179A" w:rsidRDefault="004509FE" w:rsidP="00BD588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A179A">
              <w:rPr>
                <w:rFonts w:cstheme="minorHAnsi"/>
                <w:b/>
                <w:bCs/>
                <w:color w:val="FFFFFF" w:themeColor="background1"/>
              </w:rPr>
              <w:t>3.1</w:t>
            </w:r>
          </w:p>
        </w:tc>
        <w:tc>
          <w:tcPr>
            <w:tcW w:w="2320" w:type="dxa"/>
            <w:shd w:val="clear" w:color="auto" w:fill="4472C4" w:themeFill="accent1"/>
          </w:tcPr>
          <w:p w14:paraId="0362080D" w14:textId="763EAF68" w:rsidR="004509FE" w:rsidRPr="000A179A" w:rsidRDefault="003A67A1" w:rsidP="00BD5887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Reporting</w:t>
            </w:r>
            <w:r w:rsidR="009F2DC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395" w:type="dxa"/>
          </w:tcPr>
          <w:p w14:paraId="590AAC6D" w14:textId="6B0AEC0C" w:rsidR="00891222" w:rsidRPr="00891222" w:rsidRDefault="00891222" w:rsidP="00891222">
            <w:pPr>
              <w:rPr>
                <w:rFonts w:cstheme="minorHAnsi"/>
              </w:rPr>
            </w:pPr>
            <w:r w:rsidRPr="00891222">
              <w:rPr>
                <w:rFonts w:cstheme="minorHAnsi"/>
              </w:rPr>
              <w:t>Develop</w:t>
            </w:r>
            <w:r w:rsidR="003773D7">
              <w:rPr>
                <w:rFonts w:cstheme="minorHAnsi"/>
              </w:rPr>
              <w:t xml:space="preserve"> a</w:t>
            </w:r>
            <w:r w:rsidRPr="00891222">
              <w:rPr>
                <w:rFonts w:cstheme="minorHAnsi"/>
              </w:rPr>
              <w:t xml:space="preserve"> Workforce Metrics dashboard to report on key workforce metrics relating to EDI. To include:</w:t>
            </w:r>
          </w:p>
          <w:p w14:paraId="0985C896" w14:textId="77777777" w:rsidR="00891222" w:rsidRPr="00891222" w:rsidRDefault="00891222" w:rsidP="0089122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891222">
              <w:rPr>
                <w:rFonts w:cstheme="minorHAnsi"/>
              </w:rPr>
              <w:t>Disability and race representation across all grades and service lines</w:t>
            </w:r>
          </w:p>
          <w:p w14:paraId="62DB8D99" w14:textId="6C6CE70D" w:rsidR="004509FE" w:rsidRPr="000A179A" w:rsidRDefault="00891222" w:rsidP="00891222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 w:rsidRPr="00891222">
              <w:rPr>
                <w:rFonts w:cstheme="minorHAnsi"/>
              </w:rPr>
              <w:t>Recruitment data to include number of applicants with a LTC or Disability and the likelihood of shortlisting</w:t>
            </w:r>
          </w:p>
        </w:tc>
        <w:tc>
          <w:tcPr>
            <w:tcW w:w="2409" w:type="dxa"/>
            <w:vMerge w:val="restart"/>
          </w:tcPr>
          <w:p w14:paraId="260AD858" w14:textId="69977525" w:rsidR="00184615" w:rsidRPr="007C13F4" w:rsidRDefault="00184615" w:rsidP="00D07A32">
            <w:pPr>
              <w:rPr>
                <w:rFonts w:eastAsia="Times New Roman" w:cstheme="minorHAnsi"/>
                <w:lang w:eastAsia="en-GB"/>
              </w:rPr>
            </w:pPr>
            <w:r w:rsidRPr="00B83962">
              <w:rPr>
                <w:rFonts w:eastAsia="Times New Roman" w:cstheme="minorHAnsi"/>
                <w:b/>
                <w:bCs/>
                <w:lang w:eastAsia="en-GB"/>
              </w:rPr>
              <w:t>Q4 (24/25):</w:t>
            </w:r>
            <w:r w:rsidRPr="007C13F4">
              <w:rPr>
                <w:rFonts w:eastAsia="Times New Roman" w:cstheme="minorHAnsi"/>
                <w:lang w:eastAsia="en-GB"/>
              </w:rPr>
              <w:t xml:space="preserve"> </w:t>
            </w:r>
            <w:r w:rsidR="007C13F4" w:rsidRPr="007C13F4">
              <w:rPr>
                <w:rFonts w:cstheme="minorHAnsi"/>
              </w:rPr>
              <w:t xml:space="preserve">Workforce Metrics Dashboard to be agreed at January 2025 Remuneration </w:t>
            </w:r>
            <w:r w:rsidR="006470B1" w:rsidRPr="007C13F4">
              <w:rPr>
                <w:rFonts w:cstheme="minorHAnsi"/>
              </w:rPr>
              <w:t>Committee</w:t>
            </w:r>
            <w:r w:rsidR="006470B1">
              <w:rPr>
                <w:rFonts w:eastAsia="Times New Roman" w:cstheme="minorHAnsi"/>
                <w:lang w:eastAsia="en-GB"/>
              </w:rPr>
              <w:t xml:space="preserve"> and reviewed monthly thereafter.</w:t>
            </w:r>
          </w:p>
          <w:p w14:paraId="6466B514" w14:textId="091A81E3" w:rsidR="004509FE" w:rsidRPr="00900CD0" w:rsidRDefault="004509FE" w:rsidP="00BD588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83962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Q1:</w:t>
            </w:r>
            <w:r w:rsidRPr="00900CD0">
              <w:rPr>
                <w:rFonts w:eastAsia="Times New Roman" w:cstheme="minorHAnsi"/>
                <w:lang w:eastAsia="en-GB"/>
              </w:rPr>
              <w:t xml:space="preserve"> Complete reviews of pay gap data.</w:t>
            </w:r>
          </w:p>
          <w:p w14:paraId="533DA8CA" w14:textId="77777777" w:rsidR="004509FE" w:rsidRPr="00900CD0" w:rsidRDefault="004509FE" w:rsidP="00BD5887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83962">
              <w:rPr>
                <w:rFonts w:eastAsia="Times New Roman" w:cstheme="minorHAnsi"/>
                <w:b/>
                <w:bCs/>
                <w:lang w:eastAsia="en-GB"/>
              </w:rPr>
              <w:t>Q2:</w:t>
            </w:r>
            <w:r w:rsidRPr="00900CD0">
              <w:rPr>
                <w:rFonts w:eastAsia="Times New Roman" w:cstheme="minorHAnsi"/>
                <w:lang w:eastAsia="en-GB"/>
              </w:rPr>
              <w:t xml:space="preserve"> Develop and implement specific actions to address pay gaps.</w:t>
            </w:r>
          </w:p>
          <w:p w14:paraId="2558ACCE" w14:textId="77777777" w:rsidR="004509FE" w:rsidRDefault="004509FE" w:rsidP="00BD5887">
            <w:pPr>
              <w:rPr>
                <w:rFonts w:eastAsia="Times New Roman" w:cstheme="minorHAnsi"/>
                <w:lang w:eastAsia="en-GB"/>
              </w:rPr>
            </w:pPr>
            <w:r w:rsidRPr="00B83962">
              <w:rPr>
                <w:rFonts w:eastAsia="Times New Roman" w:cstheme="minorHAnsi"/>
                <w:b/>
                <w:bCs/>
                <w:lang w:eastAsia="en-GB"/>
              </w:rPr>
              <w:t>Q3-Q4:</w:t>
            </w:r>
            <w:r w:rsidRPr="00900CD0">
              <w:rPr>
                <w:rFonts w:eastAsia="Times New Roman" w:cstheme="minorHAnsi"/>
                <w:lang w:eastAsia="en-GB"/>
              </w:rPr>
              <w:t xml:space="preserve"> Promote agile working policies and monitor pay gap reduction</w:t>
            </w:r>
          </w:p>
          <w:p w14:paraId="310C8ACB" w14:textId="7F813621" w:rsidR="004509FE" w:rsidRPr="00EB181F" w:rsidRDefault="004509FE" w:rsidP="00BD5887">
            <w:pPr>
              <w:rPr>
                <w:rFonts w:cstheme="minorHAnsi"/>
              </w:rPr>
            </w:pPr>
          </w:p>
        </w:tc>
        <w:tc>
          <w:tcPr>
            <w:tcW w:w="3119" w:type="dxa"/>
            <w:vMerge w:val="restart"/>
          </w:tcPr>
          <w:p w14:paraId="2F5ADCEB" w14:textId="6A9F76D8" w:rsidR="004509FE" w:rsidRPr="00696B6A" w:rsidRDefault="004509FE" w:rsidP="00696B6A">
            <w:pPr>
              <w:rPr>
                <w:rFonts w:eastAsia="Times New Roman" w:cstheme="minorHAnsi"/>
                <w:lang w:eastAsia="en-GB"/>
              </w:rPr>
            </w:pPr>
            <w:r w:rsidRPr="00696B6A">
              <w:rPr>
                <w:rFonts w:eastAsia="Times New Roman" w:cstheme="minorHAnsi"/>
                <w:lang w:eastAsia="en-GB"/>
              </w:rPr>
              <w:lastRenderedPageBreak/>
              <w:t>Reduction in pay gap year-over-year.</w:t>
            </w:r>
          </w:p>
          <w:p w14:paraId="69DFCF48" w14:textId="7D222A9C" w:rsidR="004509FE" w:rsidRPr="00696B6A" w:rsidRDefault="004509FE" w:rsidP="00696B6A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696B6A">
              <w:rPr>
                <w:rFonts w:eastAsia="Times New Roman" w:cstheme="minorHAnsi"/>
                <w:lang w:eastAsia="en-GB"/>
              </w:rPr>
              <w:t xml:space="preserve">Increased transparency and trust regarding pay equity among </w:t>
            </w:r>
            <w:r>
              <w:t xml:space="preserve">employees with </w:t>
            </w:r>
            <w:r w:rsidR="00D25286">
              <w:t>LTC/disability</w:t>
            </w:r>
            <w:r w:rsidRPr="00696B6A">
              <w:rPr>
                <w:rFonts w:eastAsia="Times New Roman" w:cstheme="minorHAnsi"/>
                <w:lang w:eastAsia="en-GB"/>
              </w:rPr>
              <w:t>.</w:t>
            </w:r>
          </w:p>
          <w:p w14:paraId="3FB26EE6" w14:textId="1FB124DC" w:rsidR="004509FE" w:rsidRPr="00900CD0" w:rsidRDefault="004509FE" w:rsidP="00696B6A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lastRenderedPageBreak/>
              <w:t>Uptake of agile working arrangements.</w:t>
            </w:r>
          </w:p>
          <w:p w14:paraId="493558F9" w14:textId="7C1D6EED" w:rsidR="004509FE" w:rsidRPr="00EB181F" w:rsidRDefault="004509FE" w:rsidP="00BD5887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7583F6F7" w14:textId="77777777" w:rsidR="004509FE" w:rsidRPr="00EB181F" w:rsidRDefault="004509FE" w:rsidP="00BD588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62A659FD" w14:textId="77777777" w:rsidR="004509FE" w:rsidRPr="00EB181F" w:rsidRDefault="004509FE" w:rsidP="00BD5887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22D72D48" w14:textId="77777777" w:rsidR="004509FE" w:rsidRPr="00EB181F" w:rsidRDefault="004509FE" w:rsidP="00BD5887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33F0EBFD" w14:textId="77777777" w:rsidR="004509FE" w:rsidRPr="00EB181F" w:rsidRDefault="004509FE" w:rsidP="00BD5887">
            <w:pPr>
              <w:rPr>
                <w:rFonts w:cstheme="minorHAnsi"/>
              </w:rPr>
            </w:pPr>
          </w:p>
        </w:tc>
      </w:tr>
      <w:tr w:rsidR="004509FE" w:rsidRPr="00EB181F" w14:paraId="41E3C23E" w14:textId="77777777" w:rsidTr="00A860B7">
        <w:tc>
          <w:tcPr>
            <w:tcW w:w="510" w:type="dxa"/>
            <w:shd w:val="clear" w:color="auto" w:fill="4472C4" w:themeFill="accent1"/>
          </w:tcPr>
          <w:p w14:paraId="03F5D722" w14:textId="4B5BE555" w:rsidR="004509FE" w:rsidRPr="000A179A" w:rsidRDefault="004509FE" w:rsidP="004509FE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3.2</w:t>
            </w:r>
          </w:p>
        </w:tc>
        <w:tc>
          <w:tcPr>
            <w:tcW w:w="2320" w:type="dxa"/>
            <w:shd w:val="clear" w:color="auto" w:fill="4472C4" w:themeFill="accent1"/>
          </w:tcPr>
          <w:p w14:paraId="094AF870" w14:textId="2E572554" w:rsidR="004509FE" w:rsidRDefault="004509FE" w:rsidP="004509FE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Gender / </w:t>
            </w:r>
            <w:r w:rsidRPr="00644703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Ethnicity / Disability Pay Gap Review</w:t>
            </w:r>
          </w:p>
        </w:tc>
        <w:tc>
          <w:tcPr>
            <w:tcW w:w="4395" w:type="dxa"/>
          </w:tcPr>
          <w:p w14:paraId="603FDA3C" w14:textId="77777777" w:rsidR="004509FE" w:rsidRDefault="004509FE" w:rsidP="004509F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Conduct a review of Ethnicity Pay Gap data to identify trends and areas for improvement.</w:t>
            </w:r>
          </w:p>
          <w:p w14:paraId="0F2060B7" w14:textId="77777777" w:rsidR="004509FE" w:rsidRDefault="004509FE" w:rsidP="004509F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Develop strategies to close identified pay gaps for staff with disabilities.</w:t>
            </w:r>
            <w:r>
              <w:rPr>
                <w:rFonts w:eastAsia="Times New Roman" w:cstheme="minorHAnsi"/>
                <w:lang w:eastAsia="en-GB"/>
              </w:rPr>
              <w:t xml:space="preserve"> (</w:t>
            </w:r>
            <w:r w:rsidRPr="004F280F">
              <w:rPr>
                <w:rFonts w:cstheme="minorHAnsi"/>
              </w:rPr>
              <w:t>Disability Pay Gap information to be completed and presented to HR Steering Group and HR &amp; Remuneration Committee post the conclusion of the first employee data campaign in Q4 2024/25</w:t>
            </w:r>
            <w:r>
              <w:rPr>
                <w:rFonts w:cstheme="minorHAnsi"/>
              </w:rPr>
              <w:t>)</w:t>
            </w:r>
          </w:p>
          <w:p w14:paraId="1C29A64C" w14:textId="005C237F" w:rsidR="004509FE" w:rsidRPr="00900CD0" w:rsidRDefault="004509FE" w:rsidP="004509F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Set specific actions to address pay disparities.</w:t>
            </w:r>
          </w:p>
        </w:tc>
        <w:tc>
          <w:tcPr>
            <w:tcW w:w="2409" w:type="dxa"/>
            <w:vMerge/>
          </w:tcPr>
          <w:p w14:paraId="04DD81A3" w14:textId="77777777" w:rsidR="004509FE" w:rsidRPr="00900CD0" w:rsidRDefault="004509FE" w:rsidP="004509F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119" w:type="dxa"/>
            <w:vMerge/>
          </w:tcPr>
          <w:p w14:paraId="40C2FD64" w14:textId="77777777" w:rsidR="004509FE" w:rsidRPr="00696B6A" w:rsidRDefault="004509FE" w:rsidP="004509FE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83" w:type="dxa"/>
          </w:tcPr>
          <w:p w14:paraId="137FC17E" w14:textId="77777777" w:rsidR="004509FE" w:rsidRPr="00EB181F" w:rsidRDefault="004509FE" w:rsidP="004509FE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272EC249" w14:textId="77777777" w:rsidR="004509FE" w:rsidRPr="00EB181F" w:rsidRDefault="004509FE" w:rsidP="004509FE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47E0373F" w14:textId="77777777" w:rsidR="004509FE" w:rsidRPr="00EB181F" w:rsidRDefault="004509FE" w:rsidP="004509FE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7FB445B9" w14:textId="77777777" w:rsidR="004509FE" w:rsidRPr="00EB181F" w:rsidRDefault="004509FE" w:rsidP="004509FE">
            <w:pPr>
              <w:rPr>
                <w:rFonts w:cstheme="minorHAnsi"/>
              </w:rPr>
            </w:pPr>
          </w:p>
        </w:tc>
      </w:tr>
      <w:tr w:rsidR="004509FE" w:rsidRPr="00EB181F" w14:paraId="080C114F" w14:textId="77777777" w:rsidTr="00726F5D">
        <w:tc>
          <w:tcPr>
            <w:tcW w:w="510" w:type="dxa"/>
            <w:shd w:val="clear" w:color="auto" w:fill="4472C4" w:themeFill="accent1"/>
          </w:tcPr>
          <w:p w14:paraId="52BB65A0" w14:textId="19B78D01" w:rsidR="004509FE" w:rsidRPr="00EB181F" w:rsidRDefault="004509FE" w:rsidP="004509FE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B181F">
              <w:rPr>
                <w:rFonts w:cstheme="minorHAnsi"/>
                <w:b/>
                <w:bCs/>
                <w:color w:val="FFFFFF" w:themeColor="background1"/>
              </w:rPr>
              <w:t>4.0</w:t>
            </w:r>
          </w:p>
        </w:tc>
        <w:tc>
          <w:tcPr>
            <w:tcW w:w="13377" w:type="dxa"/>
            <w:gridSpan w:val="8"/>
            <w:shd w:val="clear" w:color="auto" w:fill="4472C4" w:themeFill="accent1"/>
          </w:tcPr>
          <w:p w14:paraId="2C512DEA" w14:textId="77777777" w:rsidR="004509FE" w:rsidRDefault="004509FE" w:rsidP="004509FE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Health and Wellbeing and Culture</w:t>
            </w:r>
          </w:p>
          <w:p w14:paraId="21A9BEDE" w14:textId="679D9AB4" w:rsidR="004509FE" w:rsidRPr="00C030D8" w:rsidRDefault="004509FE" w:rsidP="004509FE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C030D8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Goal: </w:t>
            </w:r>
            <w:r w:rsidRPr="00C030D8">
              <w:rPr>
                <w:b/>
                <w:bCs/>
                <w:color w:val="FFFFFF" w:themeColor="background1"/>
              </w:rPr>
              <w:t xml:space="preserve">Foster a work environment that supports the health, safety and wellbeing of </w:t>
            </w:r>
            <w:r w:rsidR="00863136">
              <w:rPr>
                <w:b/>
                <w:bCs/>
                <w:color w:val="FFFFFF" w:themeColor="background1"/>
              </w:rPr>
              <w:t>our workforce</w:t>
            </w:r>
            <w:r w:rsidRPr="00C030D8">
              <w:rPr>
                <w:b/>
                <w:bCs/>
                <w:color w:val="FFFFFF" w:themeColor="background1"/>
              </w:rPr>
              <w:t>.</w:t>
            </w:r>
          </w:p>
        </w:tc>
      </w:tr>
      <w:tr w:rsidR="00E7201F" w:rsidRPr="00EB181F" w14:paraId="79206509" w14:textId="77777777" w:rsidTr="00A860B7">
        <w:tc>
          <w:tcPr>
            <w:tcW w:w="510" w:type="dxa"/>
            <w:shd w:val="clear" w:color="auto" w:fill="4472C4" w:themeFill="accent1"/>
          </w:tcPr>
          <w:p w14:paraId="5200C230" w14:textId="3BCA39ED" w:rsidR="00E7201F" w:rsidRPr="00EB181F" w:rsidRDefault="00E7201F" w:rsidP="004509FE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B181F">
              <w:rPr>
                <w:rFonts w:cstheme="minorHAnsi"/>
                <w:b/>
                <w:bCs/>
                <w:color w:val="FFFFFF" w:themeColor="background1"/>
              </w:rPr>
              <w:t>4.1</w:t>
            </w:r>
          </w:p>
        </w:tc>
        <w:tc>
          <w:tcPr>
            <w:tcW w:w="2320" w:type="dxa"/>
            <w:shd w:val="clear" w:color="auto" w:fill="4472C4" w:themeFill="accent1"/>
          </w:tcPr>
          <w:p w14:paraId="02269803" w14:textId="213F7C73" w:rsidR="00E7201F" w:rsidRPr="00AB45D0" w:rsidRDefault="00E7201F" w:rsidP="004509FE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Tackling non-disclosure</w:t>
            </w:r>
          </w:p>
        </w:tc>
        <w:tc>
          <w:tcPr>
            <w:tcW w:w="4395" w:type="dxa"/>
          </w:tcPr>
          <w:p w14:paraId="4AA21C30" w14:textId="71A5EEA7" w:rsidR="00E7201F" w:rsidRDefault="00E7201F" w:rsidP="004509FE">
            <w:pPr>
              <w:rPr>
                <w:rFonts w:cstheme="minorHAnsi"/>
              </w:rPr>
            </w:pPr>
            <w:r w:rsidRPr="002B0381">
              <w:rPr>
                <w:rFonts w:cstheme="minorHAnsi"/>
              </w:rPr>
              <w:t xml:space="preserve">Host a range of campaigns aimed at updating personal details on ESR, to ensure the ICB’s </w:t>
            </w:r>
            <w:r w:rsidRPr="00E0402A">
              <w:rPr>
                <w:rFonts w:cstheme="minorHAnsi"/>
              </w:rPr>
              <w:t>workforce profile is as accurate as it can be and reduce the number of non-disclosure of disability and ethnicity status.</w:t>
            </w:r>
          </w:p>
          <w:p w14:paraId="1DA26623" w14:textId="6BB2A792" w:rsidR="00E7201F" w:rsidRPr="002B0381" w:rsidRDefault="00E7201F" w:rsidP="004509FE">
            <w:pPr>
              <w:rPr>
                <w:rFonts w:cstheme="minorHAnsi"/>
              </w:rPr>
            </w:pPr>
          </w:p>
        </w:tc>
        <w:tc>
          <w:tcPr>
            <w:tcW w:w="2409" w:type="dxa"/>
            <w:vMerge w:val="restart"/>
          </w:tcPr>
          <w:p w14:paraId="55E99A02" w14:textId="77777777" w:rsidR="00E7201F" w:rsidRPr="00AC3084" w:rsidRDefault="00E7201F" w:rsidP="003A2670">
            <w:pPr>
              <w:rPr>
                <w:rFonts w:ascii="Arial" w:hAnsi="Arial" w:cs="Arial"/>
                <w:sz w:val="24"/>
                <w:szCs w:val="24"/>
              </w:rPr>
            </w:pPr>
            <w:r w:rsidRPr="00B83962">
              <w:rPr>
                <w:rFonts w:eastAsia="Times New Roman" w:cstheme="minorHAnsi"/>
                <w:b/>
                <w:bCs/>
                <w:lang w:eastAsia="en-GB"/>
              </w:rPr>
              <w:t>Q4 (24/25):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3A2670">
              <w:rPr>
                <w:rFonts w:cstheme="minorHAnsi"/>
              </w:rPr>
              <w:t>Awareness campaigns to commence in January 2025, with further sessions to be developed on a quarterly basis.</w:t>
            </w:r>
          </w:p>
          <w:p w14:paraId="369A32D1" w14:textId="6B258194" w:rsidR="00E7201F" w:rsidRPr="00900CD0" w:rsidRDefault="00E7201F" w:rsidP="004509F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849A5">
              <w:rPr>
                <w:rFonts w:eastAsia="Times New Roman" w:cstheme="minorHAnsi"/>
                <w:b/>
                <w:bCs/>
                <w:lang w:eastAsia="en-GB"/>
              </w:rPr>
              <w:t>Q1:</w:t>
            </w:r>
            <w:r w:rsidRPr="00900CD0">
              <w:rPr>
                <w:rFonts w:eastAsia="Times New Roman" w:cstheme="minorHAnsi"/>
                <w:lang w:eastAsia="en-GB"/>
              </w:rPr>
              <w:t xml:space="preserve"> Begin regular health and well-being conversations.</w:t>
            </w:r>
          </w:p>
          <w:p w14:paraId="09897788" w14:textId="0422C807" w:rsidR="00E7201F" w:rsidRDefault="00E7201F" w:rsidP="004509F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849A5">
              <w:rPr>
                <w:rFonts w:eastAsia="Times New Roman" w:cstheme="minorHAnsi"/>
                <w:b/>
                <w:bCs/>
                <w:lang w:eastAsia="en-GB"/>
              </w:rPr>
              <w:t>Q2:</w:t>
            </w:r>
            <w:r>
              <w:rPr>
                <w:rFonts w:eastAsia="Times New Roman" w:cstheme="minorHAnsi"/>
                <w:lang w:eastAsia="en-GB"/>
              </w:rPr>
              <w:t xml:space="preserve"> Develop a guidance for managers to support employees with disabilities.</w:t>
            </w:r>
          </w:p>
          <w:p w14:paraId="0A9648C5" w14:textId="3AE1F53A" w:rsidR="00E7201F" w:rsidRPr="00900CD0" w:rsidRDefault="00E7201F" w:rsidP="004509F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849A5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Q3:</w:t>
            </w:r>
            <w:r w:rsidRPr="00900CD0">
              <w:rPr>
                <w:rFonts w:eastAsia="Times New Roman" w:cstheme="minorHAnsi"/>
                <w:lang w:eastAsia="en-GB"/>
              </w:rPr>
              <w:t xml:space="preserve"> Design and implement targeted health interventions and provide regular health checks.</w:t>
            </w:r>
          </w:p>
          <w:p w14:paraId="5F18B7AE" w14:textId="24AC84B8" w:rsidR="00E7201F" w:rsidRPr="00EB181F" w:rsidRDefault="00E7201F" w:rsidP="004509FE">
            <w:pPr>
              <w:rPr>
                <w:rFonts w:cstheme="minorHAnsi"/>
              </w:rPr>
            </w:pPr>
          </w:p>
        </w:tc>
        <w:tc>
          <w:tcPr>
            <w:tcW w:w="3119" w:type="dxa"/>
            <w:vMerge w:val="restart"/>
          </w:tcPr>
          <w:p w14:paraId="2F048971" w14:textId="544075C6" w:rsidR="00E7201F" w:rsidRDefault="00E7201F" w:rsidP="004509FE">
            <w:pPr>
              <w:spacing w:before="100" w:beforeAutospacing="1" w:after="100" w:afterAutospacing="1"/>
            </w:pPr>
            <w:r>
              <w:lastRenderedPageBreak/>
              <w:t>Reduction in non-disclosure in ESR.</w:t>
            </w:r>
          </w:p>
          <w:p w14:paraId="4089588E" w14:textId="2E63CDA8" w:rsidR="00E7201F" w:rsidRDefault="00E7201F" w:rsidP="004509FE">
            <w:pPr>
              <w:spacing w:before="100" w:beforeAutospacing="1" w:after="100" w:afterAutospacing="1"/>
            </w:pPr>
            <w:r>
              <w:t>High engagement with health and wellbeing program</w:t>
            </w:r>
            <w:r w:rsidR="003129DD">
              <w:t>me</w:t>
            </w:r>
            <w:r>
              <w:t>s among</w:t>
            </w:r>
            <w:r w:rsidR="003129DD">
              <w:t>st</w:t>
            </w:r>
            <w:r>
              <w:t xml:space="preserve"> </w:t>
            </w:r>
            <w:r w:rsidR="003129DD">
              <w:t>workforce</w:t>
            </w:r>
            <w:r>
              <w:t>.</w:t>
            </w:r>
          </w:p>
          <w:p w14:paraId="74AE0328" w14:textId="31F04721" w:rsidR="00E7201F" w:rsidRDefault="00D25286" w:rsidP="004509FE">
            <w:pPr>
              <w:spacing w:before="100" w:beforeAutospacing="1" w:after="100" w:afterAutospacing="1"/>
            </w:pPr>
            <w:r w:rsidRPr="00F40BD5">
              <w:rPr>
                <w:rFonts w:cstheme="minorHAnsi"/>
              </w:rPr>
              <w:t xml:space="preserve">Improved staff survey scores </w:t>
            </w:r>
            <w:r>
              <w:rPr>
                <w:rFonts w:cstheme="minorHAnsi"/>
              </w:rPr>
              <w:t xml:space="preserve">relating to </w:t>
            </w:r>
            <w:r w:rsidR="00E7201F">
              <w:t>workplace culture and inclusivity.</w:t>
            </w:r>
          </w:p>
          <w:p w14:paraId="2159D717" w14:textId="77777777" w:rsidR="006C79E1" w:rsidRDefault="00D80566" w:rsidP="006C79E1">
            <w:r w:rsidRPr="00F40BD5">
              <w:rPr>
                <w:rFonts w:cstheme="minorHAnsi"/>
              </w:rPr>
              <w:t xml:space="preserve">Improved staff survey scores </w:t>
            </w:r>
            <w:r>
              <w:rPr>
                <w:rFonts w:cstheme="minorHAnsi"/>
              </w:rPr>
              <w:t xml:space="preserve">relating </w:t>
            </w:r>
            <w:r w:rsidR="00070B6F">
              <w:t>of workforce with LTC/disability in relation to reasonable adjustments.</w:t>
            </w:r>
          </w:p>
          <w:p w14:paraId="43FAA3F6" w14:textId="77777777" w:rsidR="006C79E1" w:rsidRDefault="006C79E1" w:rsidP="006C79E1"/>
          <w:p w14:paraId="722523F5" w14:textId="0E9D4F5F" w:rsidR="00E7201F" w:rsidRDefault="00E7201F" w:rsidP="006C79E1">
            <w:r>
              <w:lastRenderedPageBreak/>
              <w:t>Reduction in absenteeism and improved retention rates.</w:t>
            </w:r>
          </w:p>
          <w:p w14:paraId="524B7948" w14:textId="037079AF" w:rsidR="00E7201F" w:rsidRPr="00311536" w:rsidRDefault="00D80566" w:rsidP="004509FE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>
              <w:t>Improved</w:t>
            </w:r>
            <w:r w:rsidR="00B95DAC">
              <w:t xml:space="preserve"> </w:t>
            </w:r>
            <w:r w:rsidR="00E7201F">
              <w:t>staff survey engagement scores.</w:t>
            </w:r>
          </w:p>
        </w:tc>
        <w:tc>
          <w:tcPr>
            <w:tcW w:w="283" w:type="dxa"/>
          </w:tcPr>
          <w:p w14:paraId="14D0FAF0" w14:textId="77777777" w:rsidR="00E7201F" w:rsidRPr="00EB181F" w:rsidRDefault="00E7201F" w:rsidP="004509FE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30377A7E" w14:textId="77777777" w:rsidR="00E7201F" w:rsidRPr="00EB181F" w:rsidRDefault="00E7201F" w:rsidP="004509FE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5B62FB2E" w14:textId="77777777" w:rsidR="00E7201F" w:rsidRPr="00EB181F" w:rsidRDefault="00E7201F" w:rsidP="004509FE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7F4AF185" w14:textId="77777777" w:rsidR="00E7201F" w:rsidRPr="00EB181F" w:rsidRDefault="00E7201F" w:rsidP="004509FE">
            <w:pPr>
              <w:rPr>
                <w:rFonts w:cstheme="minorHAnsi"/>
              </w:rPr>
            </w:pPr>
          </w:p>
        </w:tc>
      </w:tr>
      <w:tr w:rsidR="00E7201F" w:rsidRPr="00EB181F" w14:paraId="1BCB97E0" w14:textId="77777777" w:rsidTr="00A860B7">
        <w:tc>
          <w:tcPr>
            <w:tcW w:w="510" w:type="dxa"/>
            <w:shd w:val="clear" w:color="auto" w:fill="4472C4" w:themeFill="accent1"/>
          </w:tcPr>
          <w:p w14:paraId="0D2AF868" w14:textId="0DFA3180" w:rsidR="00E7201F" w:rsidRPr="00EB181F" w:rsidRDefault="00E7201F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4.2</w:t>
            </w:r>
          </w:p>
        </w:tc>
        <w:tc>
          <w:tcPr>
            <w:tcW w:w="2320" w:type="dxa"/>
            <w:shd w:val="clear" w:color="auto" w:fill="4472C4" w:themeFill="accent1"/>
          </w:tcPr>
          <w:p w14:paraId="44886E98" w14:textId="062E3D8E" w:rsidR="00E7201F" w:rsidRPr="00CB6026" w:rsidRDefault="00E7201F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B45D0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Health and Well-being Conversations</w:t>
            </w:r>
          </w:p>
        </w:tc>
        <w:tc>
          <w:tcPr>
            <w:tcW w:w="4395" w:type="dxa"/>
          </w:tcPr>
          <w:p w14:paraId="36FC3419" w14:textId="115865EE" w:rsidR="00E7201F" w:rsidRPr="00900CD0" w:rsidRDefault="00E7201F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 xml:space="preserve">Encourage regular conversations between managers and </w:t>
            </w:r>
            <w:r>
              <w:rPr>
                <w:rFonts w:eastAsia="Times New Roman" w:cstheme="minorHAnsi"/>
                <w:lang w:eastAsia="en-GB"/>
              </w:rPr>
              <w:t>the wider workforce</w:t>
            </w:r>
            <w:r w:rsidRPr="00900CD0">
              <w:rPr>
                <w:rFonts w:eastAsia="Times New Roman" w:cstheme="minorHAnsi"/>
                <w:lang w:eastAsia="en-GB"/>
              </w:rPr>
              <w:t xml:space="preserve"> about health and well-being.</w:t>
            </w:r>
          </w:p>
          <w:p w14:paraId="69A5E8CB" w14:textId="77777777" w:rsidR="00E7201F" w:rsidRDefault="00E7201F" w:rsidP="00A3346C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Provide</w:t>
            </w:r>
            <w:r>
              <w:rPr>
                <w:rFonts w:eastAsia="Times New Roman" w:cstheme="minorHAnsi"/>
                <w:lang w:eastAsia="en-GB"/>
              </w:rPr>
              <w:t xml:space="preserve"> guidance and</w:t>
            </w:r>
            <w:r w:rsidRPr="00900CD0">
              <w:rPr>
                <w:rFonts w:eastAsia="Times New Roman" w:cstheme="minorHAnsi"/>
                <w:lang w:eastAsia="en-GB"/>
              </w:rPr>
              <w:t xml:space="preserve"> training for managers to conduct these conversations effectively.</w:t>
            </w:r>
          </w:p>
          <w:p w14:paraId="41079BA1" w14:textId="0429FBB5" w:rsidR="00A3346C" w:rsidRPr="00CB6026" w:rsidRDefault="00A3346C" w:rsidP="00A3346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454875FB" w14:textId="25B9A0B2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07E30344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5FE1C32F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7309C221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586966F2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5E9F2E99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</w:tr>
      <w:tr w:rsidR="00E7201F" w:rsidRPr="00EB181F" w14:paraId="2F073FC0" w14:textId="77777777" w:rsidTr="00A860B7">
        <w:tc>
          <w:tcPr>
            <w:tcW w:w="510" w:type="dxa"/>
            <w:shd w:val="clear" w:color="auto" w:fill="4472C4" w:themeFill="accent1"/>
          </w:tcPr>
          <w:p w14:paraId="6C8E1C40" w14:textId="03C76549" w:rsidR="00E7201F" w:rsidRPr="00EB181F" w:rsidRDefault="00E7201F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4.3</w:t>
            </w:r>
          </w:p>
        </w:tc>
        <w:tc>
          <w:tcPr>
            <w:tcW w:w="2320" w:type="dxa"/>
            <w:shd w:val="clear" w:color="auto" w:fill="4472C4" w:themeFill="accent1"/>
          </w:tcPr>
          <w:p w14:paraId="22DEC614" w14:textId="0F39320B" w:rsidR="00E7201F" w:rsidRPr="00AB45D0" w:rsidRDefault="00E7201F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CB6026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Support offers</w:t>
            </w:r>
          </w:p>
        </w:tc>
        <w:tc>
          <w:tcPr>
            <w:tcW w:w="4395" w:type="dxa"/>
          </w:tcPr>
          <w:p w14:paraId="20417B4F" w14:textId="77777777" w:rsidR="00E7201F" w:rsidRPr="00CB6026" w:rsidRDefault="00E7201F" w:rsidP="00C16BBB">
            <w:pPr>
              <w:rPr>
                <w:rFonts w:eastAsia="Times New Roman" w:cstheme="minorHAnsi"/>
                <w:lang w:eastAsia="en-GB"/>
              </w:rPr>
            </w:pPr>
            <w:r w:rsidRPr="00CB6026">
              <w:rPr>
                <w:rFonts w:eastAsia="Times New Roman" w:cstheme="minorHAnsi"/>
                <w:lang w:eastAsia="en-GB"/>
              </w:rPr>
              <w:t>Implement flexible working policies, including remote work options and adjustable work hours, to accommodate health-related needs.</w:t>
            </w:r>
          </w:p>
          <w:p w14:paraId="0B2438BB" w14:textId="77777777" w:rsidR="00E7201F" w:rsidRPr="00CB6026" w:rsidRDefault="00E7201F" w:rsidP="00C16BBB">
            <w:pPr>
              <w:rPr>
                <w:rFonts w:eastAsia="Times New Roman" w:cstheme="minorHAnsi"/>
                <w:lang w:eastAsia="en-GB"/>
              </w:rPr>
            </w:pPr>
          </w:p>
          <w:p w14:paraId="07A105CD" w14:textId="77777777" w:rsidR="00E7201F" w:rsidRPr="00CB6026" w:rsidRDefault="00E7201F" w:rsidP="00C16BBB">
            <w:pPr>
              <w:rPr>
                <w:rFonts w:eastAsia="Times New Roman" w:cstheme="minorHAnsi"/>
                <w:lang w:eastAsia="en-GB"/>
              </w:rPr>
            </w:pPr>
            <w:r w:rsidRPr="00CB6026">
              <w:rPr>
                <w:rFonts w:eastAsia="Times New Roman" w:cstheme="minorHAnsi"/>
                <w:lang w:eastAsia="en-GB"/>
              </w:rPr>
              <w:t>Ensure all physical and virtual workspaces are accessible, with facilities such as ergonomic workstations, accessible restrooms and screen readers.</w:t>
            </w:r>
          </w:p>
          <w:p w14:paraId="47682EDD" w14:textId="77777777" w:rsidR="00E7201F" w:rsidRPr="00CB6026" w:rsidRDefault="00E7201F" w:rsidP="00C16BBB">
            <w:pPr>
              <w:rPr>
                <w:rFonts w:eastAsia="Times New Roman" w:cstheme="minorHAnsi"/>
                <w:lang w:eastAsia="en-GB"/>
              </w:rPr>
            </w:pPr>
          </w:p>
          <w:p w14:paraId="02DAA044" w14:textId="53053FF3" w:rsidR="00E7201F" w:rsidRPr="00CB6026" w:rsidRDefault="00E7201F" w:rsidP="00C16BBB">
            <w:pPr>
              <w:rPr>
                <w:rFonts w:eastAsia="Times New Roman" w:cstheme="minorHAnsi"/>
                <w:lang w:eastAsia="en-GB"/>
              </w:rPr>
            </w:pPr>
            <w:r w:rsidRPr="00CB6026">
              <w:rPr>
                <w:rFonts w:eastAsia="Times New Roman" w:cstheme="minorHAnsi"/>
                <w:lang w:eastAsia="en-GB"/>
              </w:rPr>
              <w:t xml:space="preserve">Provide mental health resources, including counselling, resilience training and support groups specifically catering to employees with </w:t>
            </w:r>
            <w:r>
              <w:rPr>
                <w:rFonts w:eastAsia="Times New Roman" w:cstheme="minorHAnsi"/>
                <w:lang w:eastAsia="en-GB"/>
              </w:rPr>
              <w:t>LTC/disability</w:t>
            </w:r>
            <w:r w:rsidRPr="00CB6026">
              <w:rPr>
                <w:rFonts w:eastAsia="Times New Roman" w:cstheme="minorHAnsi"/>
                <w:lang w:eastAsia="en-GB"/>
              </w:rPr>
              <w:t>.</w:t>
            </w:r>
          </w:p>
          <w:p w14:paraId="3B0F17B0" w14:textId="77777777" w:rsidR="00E7201F" w:rsidRDefault="00E7201F" w:rsidP="00C16BBB">
            <w:pPr>
              <w:rPr>
                <w:rFonts w:eastAsia="Times New Roman" w:cstheme="minorHAnsi"/>
                <w:lang w:eastAsia="en-GB"/>
              </w:rPr>
            </w:pPr>
            <w:r w:rsidRPr="00CB6026">
              <w:rPr>
                <w:rFonts w:eastAsia="Times New Roman" w:cstheme="minorHAnsi"/>
                <w:lang w:eastAsia="en-GB"/>
              </w:rPr>
              <w:t>Streamline the process for employees to request reasonable adjustments and accommodations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5761A66F" w14:textId="18430B3A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65D177BE" w14:textId="768FCC24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2FEB9EB9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724929CA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7BD526AF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3B3A14F7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3E431847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</w:tr>
      <w:tr w:rsidR="00E7201F" w:rsidRPr="00EB181F" w14:paraId="747EFE17" w14:textId="77777777" w:rsidTr="00A860B7">
        <w:tc>
          <w:tcPr>
            <w:tcW w:w="510" w:type="dxa"/>
            <w:shd w:val="clear" w:color="auto" w:fill="4472C4" w:themeFill="accent1"/>
          </w:tcPr>
          <w:p w14:paraId="0B153AFE" w14:textId="01086E15" w:rsidR="00E7201F" w:rsidRDefault="00E7201F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4.4</w:t>
            </w:r>
          </w:p>
        </w:tc>
        <w:tc>
          <w:tcPr>
            <w:tcW w:w="2320" w:type="dxa"/>
            <w:shd w:val="clear" w:color="auto" w:fill="4472C4" w:themeFill="accent1"/>
          </w:tcPr>
          <w:p w14:paraId="4884DF6A" w14:textId="5F125E3A" w:rsidR="00E7201F" w:rsidRDefault="00E7201F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Employee voice</w:t>
            </w:r>
          </w:p>
        </w:tc>
        <w:tc>
          <w:tcPr>
            <w:tcW w:w="4395" w:type="dxa"/>
          </w:tcPr>
          <w:p w14:paraId="5EB5C3B7" w14:textId="6A4837ED" w:rsidR="00E7201F" w:rsidRPr="00551C80" w:rsidRDefault="00E7201F" w:rsidP="00C16BBB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Establish</w:t>
            </w:r>
            <w:r w:rsidRPr="00551C80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feedback</w:t>
            </w:r>
            <w:r w:rsidRPr="00551C80">
              <w:rPr>
                <w:rFonts w:eastAsia="Times New Roman" w:cstheme="minorHAnsi"/>
                <w:lang w:eastAsia="en-GB"/>
              </w:rPr>
              <w:t xml:space="preserve"> channels to gather insights from </w:t>
            </w:r>
            <w:r>
              <w:rPr>
                <w:rFonts w:eastAsia="Times New Roman" w:cstheme="minorHAnsi"/>
                <w:lang w:eastAsia="en-GB"/>
              </w:rPr>
              <w:t>workforce</w:t>
            </w:r>
            <w:r w:rsidRPr="00551C80">
              <w:rPr>
                <w:rFonts w:eastAsia="Times New Roman" w:cstheme="minorHAnsi"/>
                <w:lang w:eastAsia="en-GB"/>
              </w:rPr>
              <w:t xml:space="preserve"> with </w:t>
            </w:r>
            <w:r>
              <w:rPr>
                <w:rFonts w:eastAsia="Times New Roman" w:cstheme="minorHAnsi"/>
                <w:lang w:eastAsia="en-GB"/>
              </w:rPr>
              <w:t>LTC/disability</w:t>
            </w:r>
            <w:r w:rsidRPr="00551C80">
              <w:rPr>
                <w:rFonts w:eastAsia="Times New Roman" w:cstheme="minorHAnsi"/>
                <w:lang w:eastAsia="en-GB"/>
              </w:rPr>
              <w:t xml:space="preserve"> about their experiences.</w:t>
            </w:r>
          </w:p>
          <w:p w14:paraId="7E222BDA" w14:textId="77777777" w:rsidR="00E7201F" w:rsidRPr="00551C80" w:rsidRDefault="00E7201F" w:rsidP="00C16BBB">
            <w:pPr>
              <w:rPr>
                <w:rFonts w:eastAsia="Times New Roman" w:cstheme="minorHAnsi"/>
                <w:lang w:eastAsia="en-GB"/>
              </w:rPr>
            </w:pPr>
          </w:p>
          <w:p w14:paraId="7FF94B5E" w14:textId="6E6AFA4B" w:rsidR="00E7201F" w:rsidRDefault="00E7201F" w:rsidP="00C16BBB">
            <w:pPr>
              <w:rPr>
                <w:rFonts w:eastAsia="Times New Roman" w:cstheme="minorHAnsi"/>
                <w:lang w:eastAsia="en-GB"/>
              </w:rPr>
            </w:pPr>
            <w:r w:rsidRPr="00672A94">
              <w:rPr>
                <w:rFonts w:eastAsia="Times New Roman" w:cstheme="minorHAnsi"/>
                <w:lang w:eastAsia="en-GB"/>
              </w:rPr>
              <w:t>Further develop staff network group</w:t>
            </w:r>
            <w:r>
              <w:rPr>
                <w:rFonts w:eastAsia="Times New Roman" w:cstheme="minorHAnsi"/>
                <w:lang w:eastAsia="en-GB"/>
              </w:rPr>
              <w:t>s</w:t>
            </w:r>
            <w:r w:rsidRPr="00551C80">
              <w:rPr>
                <w:rFonts w:eastAsia="Times New Roman" w:cstheme="minorHAnsi"/>
                <w:lang w:eastAsia="en-GB"/>
              </w:rPr>
              <w:t xml:space="preserve"> to provide </w:t>
            </w:r>
            <w:r>
              <w:rPr>
                <w:rFonts w:eastAsia="Times New Roman" w:cstheme="minorHAnsi"/>
                <w:lang w:eastAsia="en-GB"/>
              </w:rPr>
              <w:t xml:space="preserve">workforce with </w:t>
            </w:r>
            <w:r w:rsidRPr="00551C80">
              <w:rPr>
                <w:rFonts w:eastAsia="Times New Roman" w:cstheme="minorHAnsi"/>
                <w:lang w:eastAsia="en-GB"/>
              </w:rPr>
              <w:t>peer support, share resources and offer a platform for collective feedback to leadership.</w:t>
            </w:r>
          </w:p>
          <w:p w14:paraId="2C7BC7BE" w14:textId="77777777" w:rsidR="00E7201F" w:rsidRDefault="00E7201F" w:rsidP="00C16BBB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09" w:type="dxa"/>
            <w:vMerge/>
          </w:tcPr>
          <w:p w14:paraId="23AA7C85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5E77D281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35D3970D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11568EB0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40ACBBEC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3DB2193D" w14:textId="77777777" w:rsidR="00E7201F" w:rsidRPr="00EB181F" w:rsidRDefault="00E7201F" w:rsidP="00C16BBB">
            <w:pPr>
              <w:rPr>
                <w:rFonts w:cstheme="minorHAnsi"/>
              </w:rPr>
            </w:pPr>
          </w:p>
        </w:tc>
      </w:tr>
      <w:tr w:rsidR="00C16BBB" w:rsidRPr="00772BFA" w14:paraId="3404F88C" w14:textId="77777777" w:rsidTr="006246F6">
        <w:tc>
          <w:tcPr>
            <w:tcW w:w="510" w:type="dxa"/>
            <w:shd w:val="clear" w:color="auto" w:fill="4472C4" w:themeFill="accent1"/>
          </w:tcPr>
          <w:p w14:paraId="4CBDC4DD" w14:textId="4E2F54DD" w:rsidR="00C16BBB" w:rsidRPr="006F74EB" w:rsidRDefault="00C16BBB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5</w:t>
            </w:r>
            <w:r w:rsidRPr="006F74EB">
              <w:rPr>
                <w:rFonts w:cstheme="minorHAnsi"/>
                <w:b/>
                <w:bCs/>
                <w:color w:val="FFFFFF" w:themeColor="background1"/>
              </w:rPr>
              <w:t>.0</w:t>
            </w:r>
          </w:p>
        </w:tc>
        <w:tc>
          <w:tcPr>
            <w:tcW w:w="13377" w:type="dxa"/>
            <w:gridSpan w:val="8"/>
            <w:shd w:val="clear" w:color="auto" w:fill="4472C4" w:themeFill="accent1"/>
          </w:tcPr>
          <w:p w14:paraId="25AB5571" w14:textId="77777777" w:rsidR="00C16BBB" w:rsidRDefault="00C16BBB" w:rsidP="00C16BBB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EA18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Eliminate Bullying, Harassment and Discrimination</w:t>
            </w:r>
          </w:p>
          <w:p w14:paraId="5ABD8786" w14:textId="2604C058" w:rsidR="00C16BBB" w:rsidRPr="00EA18A4" w:rsidRDefault="00C16BBB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A18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Goal: </w:t>
            </w:r>
            <w:r w:rsidRPr="00EA18A4">
              <w:rPr>
                <w:b/>
                <w:bCs/>
                <w:color w:val="FFFFFF" w:themeColor="background1"/>
              </w:rPr>
              <w:t xml:space="preserve">Prevent and address incidents of bullying, harassment and discrimination, particularly those related to </w:t>
            </w:r>
            <w:r>
              <w:rPr>
                <w:b/>
                <w:bCs/>
                <w:color w:val="FFFFFF" w:themeColor="background1"/>
              </w:rPr>
              <w:t>disability</w:t>
            </w:r>
            <w:r w:rsidRPr="00EA18A4">
              <w:rPr>
                <w:b/>
                <w:bCs/>
                <w:color w:val="FFFFFF" w:themeColor="background1"/>
              </w:rPr>
              <w:t>.</w:t>
            </w:r>
          </w:p>
        </w:tc>
      </w:tr>
      <w:tr w:rsidR="00C16BBB" w:rsidRPr="00772BFA" w14:paraId="706502AE" w14:textId="77777777" w:rsidTr="00A860B7">
        <w:tc>
          <w:tcPr>
            <w:tcW w:w="510" w:type="dxa"/>
            <w:shd w:val="clear" w:color="auto" w:fill="4472C4" w:themeFill="accent1"/>
          </w:tcPr>
          <w:p w14:paraId="3DBFD6AC" w14:textId="12F4EB84" w:rsidR="00C16BBB" w:rsidRPr="00772BFA" w:rsidRDefault="00C16BBB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5.1</w:t>
            </w:r>
          </w:p>
        </w:tc>
        <w:tc>
          <w:tcPr>
            <w:tcW w:w="2320" w:type="dxa"/>
            <w:shd w:val="clear" w:color="auto" w:fill="4472C4" w:themeFill="accent1"/>
          </w:tcPr>
          <w:p w14:paraId="039B46BA" w14:textId="1AD676B7" w:rsidR="00C16BBB" w:rsidRPr="003047C0" w:rsidRDefault="00C16BBB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3047C0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Monitoring and Accountability</w:t>
            </w:r>
          </w:p>
        </w:tc>
        <w:tc>
          <w:tcPr>
            <w:tcW w:w="4395" w:type="dxa"/>
          </w:tcPr>
          <w:p w14:paraId="7718ACB7" w14:textId="40B63740" w:rsidR="00C16BBB" w:rsidRPr="00900CD0" w:rsidRDefault="00C16BBB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Establish dashboards and KPIs linked to the NHS People Promise to monitor incidents of bullying</w:t>
            </w:r>
            <w:r>
              <w:rPr>
                <w:rFonts w:eastAsia="Times New Roman" w:cstheme="minorHAnsi"/>
                <w:lang w:eastAsia="en-GB"/>
              </w:rPr>
              <w:t xml:space="preserve"> and</w:t>
            </w:r>
            <w:r w:rsidRPr="00900CD0">
              <w:rPr>
                <w:rFonts w:eastAsia="Times New Roman" w:cstheme="minorHAnsi"/>
                <w:lang w:eastAsia="en-GB"/>
              </w:rPr>
              <w:t xml:space="preserve"> harassment.</w:t>
            </w:r>
          </w:p>
          <w:p w14:paraId="32743CF5" w14:textId="6E438A03" w:rsidR="00C16BBB" w:rsidRPr="00900CD0" w:rsidRDefault="00C16BBB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t xml:space="preserve">Regularly review incident reports and trends to adjust training and policies as necessary, </w:t>
            </w:r>
            <w:r>
              <w:lastRenderedPageBreak/>
              <w:t>aiming to reduce occurrences and improve the workplace culture.</w:t>
            </w:r>
          </w:p>
          <w:p w14:paraId="14560916" w14:textId="77777777" w:rsidR="00C16BBB" w:rsidRDefault="00C16BBB" w:rsidP="00A3346C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900CD0">
              <w:rPr>
                <w:rFonts w:eastAsia="Times New Roman" w:cstheme="minorHAnsi"/>
                <w:lang w:eastAsia="en-GB"/>
              </w:rPr>
              <w:t>Hold managers and teams accountable for reducing these incidents through regular reviews.</w:t>
            </w:r>
          </w:p>
          <w:p w14:paraId="76F4F08F" w14:textId="0440D9A2" w:rsidR="00A3346C" w:rsidRPr="00A3346C" w:rsidRDefault="00A3346C" w:rsidP="00A3346C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09" w:type="dxa"/>
            <w:vMerge w:val="restart"/>
          </w:tcPr>
          <w:p w14:paraId="39B75BB9" w14:textId="77777777" w:rsidR="003E5716" w:rsidRDefault="00F647C6" w:rsidP="003E5716">
            <w:pPr>
              <w:rPr>
                <w:rFonts w:cstheme="minorHAnsi"/>
              </w:rPr>
            </w:pPr>
            <w:r w:rsidRPr="00F647C6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Q4 (24/25): </w:t>
            </w:r>
            <w:r w:rsidRPr="00F647C6">
              <w:rPr>
                <w:rFonts w:cstheme="minorHAnsi"/>
              </w:rPr>
              <w:t xml:space="preserve">Scope of code of conduct to be reviewed and presented </w:t>
            </w:r>
            <w:r>
              <w:rPr>
                <w:rFonts w:cstheme="minorHAnsi"/>
              </w:rPr>
              <w:t>to</w:t>
            </w:r>
            <w:r w:rsidRPr="00F647C6">
              <w:rPr>
                <w:rFonts w:cstheme="minorHAnsi"/>
              </w:rPr>
              <w:t xml:space="preserve"> HR &amp; Remuneration Committee and HR Steering Group with </w:t>
            </w:r>
            <w:r w:rsidRPr="00F647C6">
              <w:rPr>
                <w:rFonts w:cstheme="minorHAnsi"/>
              </w:rPr>
              <w:lastRenderedPageBreak/>
              <w:t>view to implementation in Q1 2025/26</w:t>
            </w:r>
            <w:r w:rsidR="003E5716">
              <w:rPr>
                <w:rFonts w:cstheme="minorHAnsi"/>
              </w:rPr>
              <w:t>.</w:t>
            </w:r>
          </w:p>
          <w:p w14:paraId="51041C0D" w14:textId="7B8F0B74" w:rsidR="00C16BBB" w:rsidRDefault="00C16BBB" w:rsidP="003E5716">
            <w:pPr>
              <w:rPr>
                <w:rFonts w:eastAsia="Times New Roman" w:cstheme="minorHAnsi"/>
                <w:lang w:eastAsia="en-GB"/>
              </w:rPr>
            </w:pPr>
            <w:r w:rsidRPr="003E5716">
              <w:rPr>
                <w:rFonts w:eastAsia="Times New Roman" w:cstheme="minorHAnsi"/>
                <w:b/>
                <w:bCs/>
                <w:lang w:eastAsia="en-GB"/>
              </w:rPr>
              <w:t>Q1:</w:t>
            </w:r>
            <w:r w:rsidRPr="00900CD0">
              <w:rPr>
                <w:rFonts w:eastAsia="Times New Roman" w:cstheme="minorHAnsi"/>
                <w:lang w:eastAsia="en-GB"/>
              </w:rPr>
              <w:t xml:space="preserve"> Develop and implement dashboards and KPIs.</w:t>
            </w:r>
          </w:p>
          <w:p w14:paraId="085C9568" w14:textId="313AB35D" w:rsidR="003E5716" w:rsidRPr="00900CD0" w:rsidRDefault="003E5716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Implement Code of Conduct.</w:t>
            </w:r>
          </w:p>
          <w:p w14:paraId="25B4EE26" w14:textId="1CDF9BCE" w:rsidR="00C16BBB" w:rsidRPr="00900CD0" w:rsidRDefault="00C16BBB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3E5716">
              <w:rPr>
                <w:rFonts w:eastAsia="Times New Roman" w:cstheme="minorHAnsi"/>
                <w:b/>
                <w:bCs/>
                <w:lang w:eastAsia="en-GB"/>
              </w:rPr>
              <w:t>Q2:</w:t>
            </w:r>
            <w:r w:rsidRPr="00900CD0">
              <w:rPr>
                <w:rFonts w:eastAsia="Times New Roman" w:cstheme="minorHAnsi"/>
                <w:lang w:eastAsia="en-GB"/>
              </w:rPr>
              <w:t xml:space="preserve"> Begin embedding EDI into business operations and provide</w:t>
            </w:r>
            <w:r w:rsidR="00E723F4">
              <w:rPr>
                <w:rFonts w:eastAsia="Times New Roman" w:cstheme="minorHAnsi"/>
                <w:lang w:eastAsia="en-GB"/>
              </w:rPr>
              <w:t xml:space="preserve"> </w:t>
            </w:r>
            <w:r w:rsidRPr="00900CD0">
              <w:rPr>
                <w:rFonts w:eastAsia="Times New Roman" w:cstheme="minorHAnsi"/>
                <w:lang w:eastAsia="en-GB"/>
              </w:rPr>
              <w:t>training.</w:t>
            </w:r>
          </w:p>
          <w:p w14:paraId="2920EFF6" w14:textId="77777777" w:rsidR="00C16BBB" w:rsidRPr="00900CD0" w:rsidRDefault="00C16BBB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3E5716">
              <w:rPr>
                <w:rFonts w:eastAsia="Times New Roman" w:cstheme="minorHAnsi"/>
                <w:b/>
                <w:bCs/>
                <w:lang w:eastAsia="en-GB"/>
              </w:rPr>
              <w:t>Q3-Q4:</w:t>
            </w:r>
            <w:r w:rsidRPr="00900CD0">
              <w:rPr>
                <w:rFonts w:eastAsia="Times New Roman" w:cstheme="minorHAnsi"/>
                <w:lang w:eastAsia="en-GB"/>
              </w:rPr>
              <w:t xml:space="preserve"> Monitor progress and adjust initiatives based on feedback and data.</w:t>
            </w:r>
          </w:p>
          <w:p w14:paraId="3E827231" w14:textId="77777777" w:rsidR="00C16BBB" w:rsidRDefault="00C16BBB" w:rsidP="00C16BBB">
            <w:pPr>
              <w:rPr>
                <w:rFonts w:cstheme="minorHAnsi"/>
              </w:rPr>
            </w:pPr>
          </w:p>
          <w:p w14:paraId="5D693B80" w14:textId="0F507856" w:rsidR="00785CA0" w:rsidRPr="00772BFA" w:rsidRDefault="00785CA0" w:rsidP="00C16BBB">
            <w:pPr>
              <w:rPr>
                <w:rFonts w:cstheme="minorHAnsi"/>
              </w:rPr>
            </w:pPr>
          </w:p>
        </w:tc>
        <w:tc>
          <w:tcPr>
            <w:tcW w:w="3119" w:type="dxa"/>
            <w:vMerge w:val="restart"/>
          </w:tcPr>
          <w:p w14:paraId="6999663F" w14:textId="781FB5D2" w:rsidR="00C16BBB" w:rsidRPr="00F40BD5" w:rsidRDefault="00C16BBB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F40BD5">
              <w:rPr>
                <w:rFonts w:eastAsia="Times New Roman" w:cstheme="minorHAnsi"/>
                <w:lang w:eastAsia="en-GB"/>
              </w:rPr>
              <w:lastRenderedPageBreak/>
              <w:t>Reduction in reported incidents of bullying, harassment and discrimination.</w:t>
            </w:r>
          </w:p>
          <w:p w14:paraId="36283623" w14:textId="77777777" w:rsidR="00F40BD5" w:rsidRPr="00F40BD5" w:rsidRDefault="00F40BD5" w:rsidP="00F40BD5">
            <w:pPr>
              <w:rPr>
                <w:rFonts w:cstheme="minorHAnsi"/>
              </w:rPr>
            </w:pPr>
            <w:r w:rsidRPr="00F40BD5">
              <w:rPr>
                <w:rFonts w:cstheme="minorHAnsi"/>
              </w:rPr>
              <w:lastRenderedPageBreak/>
              <w:t>Reduction in the number of cases linked to dignity and respect</w:t>
            </w:r>
          </w:p>
          <w:p w14:paraId="088F249F" w14:textId="4D03B27C" w:rsidR="00C16BBB" w:rsidRPr="00F40BD5" w:rsidRDefault="00F40BD5" w:rsidP="00C16BBB">
            <w:pPr>
              <w:rPr>
                <w:rFonts w:cstheme="minorHAnsi"/>
              </w:rPr>
            </w:pPr>
            <w:r w:rsidRPr="00F40BD5">
              <w:rPr>
                <w:rFonts w:cstheme="minorHAnsi"/>
              </w:rPr>
              <w:t xml:space="preserve">Improved staff survey scores </w:t>
            </w:r>
            <w:r w:rsidR="00E57029">
              <w:rPr>
                <w:rFonts w:cstheme="minorHAnsi"/>
              </w:rPr>
              <w:t xml:space="preserve">relating to </w:t>
            </w:r>
            <w:r w:rsidR="00C16BBB" w:rsidRPr="00F40BD5">
              <w:rPr>
                <w:rFonts w:cstheme="minorHAnsi"/>
              </w:rPr>
              <w:t>feeling safe and respected at work.</w:t>
            </w:r>
          </w:p>
          <w:p w14:paraId="2881209F" w14:textId="77777777" w:rsidR="00C16BBB" w:rsidRPr="00F40BD5" w:rsidRDefault="00C16BBB" w:rsidP="00C16BBB">
            <w:pPr>
              <w:rPr>
                <w:rFonts w:cstheme="minorHAnsi"/>
              </w:rPr>
            </w:pPr>
          </w:p>
          <w:p w14:paraId="6CA68AFA" w14:textId="77777777" w:rsidR="00E66875" w:rsidRPr="00F40BD5" w:rsidRDefault="00E66875" w:rsidP="00C16BBB">
            <w:pPr>
              <w:rPr>
                <w:rFonts w:cstheme="minorHAnsi"/>
              </w:rPr>
            </w:pPr>
          </w:p>
          <w:p w14:paraId="3EC9B54B" w14:textId="77777777" w:rsidR="00276BEC" w:rsidRDefault="00276BEC" w:rsidP="00276BEC">
            <w:pPr>
              <w:rPr>
                <w:rFonts w:ascii="Arial" w:hAnsi="Arial" w:cs="Arial"/>
                <w:sz w:val="24"/>
                <w:szCs w:val="24"/>
              </w:rPr>
            </w:pPr>
            <w:r w:rsidRPr="00F40BD5">
              <w:rPr>
                <w:rFonts w:cstheme="minorHAnsi"/>
              </w:rPr>
              <w:t>Improved staff survey scores relating to violence, bullying and harassment from colleagues and managers</w:t>
            </w:r>
            <w:r w:rsidRPr="00AC30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1C73F8" w14:textId="75B7CD33" w:rsidR="00E66875" w:rsidRPr="00772BFA" w:rsidRDefault="00E66875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7BD1DE19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3D426F2D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38AFE232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4E8571A1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</w:tr>
      <w:tr w:rsidR="00C16BBB" w:rsidRPr="00772BFA" w14:paraId="51DABE41" w14:textId="77777777" w:rsidTr="00A860B7">
        <w:tc>
          <w:tcPr>
            <w:tcW w:w="510" w:type="dxa"/>
            <w:shd w:val="clear" w:color="auto" w:fill="4472C4" w:themeFill="accent1"/>
          </w:tcPr>
          <w:p w14:paraId="5CA76397" w14:textId="50BE0238" w:rsidR="00C16BBB" w:rsidRPr="00772BFA" w:rsidRDefault="00C16BBB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5.2</w:t>
            </w:r>
          </w:p>
        </w:tc>
        <w:tc>
          <w:tcPr>
            <w:tcW w:w="2320" w:type="dxa"/>
            <w:shd w:val="clear" w:color="auto" w:fill="4472C4" w:themeFill="accent1"/>
          </w:tcPr>
          <w:p w14:paraId="1CA473F2" w14:textId="0CAE5C96" w:rsidR="00C16BBB" w:rsidRPr="003047C0" w:rsidRDefault="00C16BBB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3047C0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Embed EDI into Business Operations</w:t>
            </w:r>
          </w:p>
        </w:tc>
        <w:tc>
          <w:tcPr>
            <w:tcW w:w="4395" w:type="dxa"/>
          </w:tcPr>
          <w:p w14:paraId="3C2E3EF7" w14:textId="68677D20" w:rsidR="00DA3884" w:rsidRPr="005F7BA4" w:rsidRDefault="00DA3884" w:rsidP="00DA3884">
            <w:pPr>
              <w:rPr>
                <w:rFonts w:cstheme="minorHAnsi"/>
              </w:rPr>
            </w:pPr>
            <w:r w:rsidRPr="005F7BA4">
              <w:rPr>
                <w:rFonts w:cstheme="minorHAnsi"/>
              </w:rPr>
              <w:t xml:space="preserve">Scope the opportunity to implement an employee code of conduct which sets out the standards of behaviour expected from all employees across the organisation </w:t>
            </w:r>
            <w:r w:rsidR="003D4D08" w:rsidRPr="005F7BA4">
              <w:rPr>
                <w:rFonts w:cstheme="minorHAnsi"/>
              </w:rPr>
              <w:t>and</w:t>
            </w:r>
            <w:r w:rsidRPr="005F7BA4">
              <w:rPr>
                <w:rFonts w:cstheme="minorHAnsi"/>
              </w:rPr>
              <w:t xml:space="preserve"> link with appropriate ICB policies</w:t>
            </w:r>
            <w:r w:rsidR="003D4D08" w:rsidRPr="005F7BA4">
              <w:rPr>
                <w:rFonts w:cstheme="minorHAnsi"/>
              </w:rPr>
              <w:t>.</w:t>
            </w:r>
          </w:p>
          <w:p w14:paraId="473D375C" w14:textId="77777777" w:rsidR="00C16BBB" w:rsidRPr="005F7BA4" w:rsidRDefault="00C16BBB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F7BA4">
              <w:rPr>
                <w:rFonts w:eastAsia="Times New Roman" w:cstheme="minorHAnsi"/>
                <w:lang w:eastAsia="en-GB"/>
              </w:rPr>
              <w:t>Communicate EDI initiatives frequently to maintain awareness and focus on cultural improvement.</w:t>
            </w:r>
          </w:p>
          <w:p w14:paraId="78F36733" w14:textId="77777777" w:rsidR="00C16BBB" w:rsidRDefault="007C37FD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F7BA4">
              <w:rPr>
                <w:rFonts w:cstheme="minorHAnsi"/>
              </w:rPr>
              <w:t>Continue to develop and promote awareness of our zero tolerance approach to bullying and harassment.</w:t>
            </w:r>
          </w:p>
          <w:p w14:paraId="6C00C774" w14:textId="3BE2044F" w:rsidR="005F7BA4" w:rsidRPr="005F7BA4" w:rsidRDefault="005F7BA4" w:rsidP="00C16BBB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09" w:type="dxa"/>
            <w:vMerge/>
          </w:tcPr>
          <w:p w14:paraId="4EDDEA3C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326FDC09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5BBE015B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2346DA46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70307D94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0F4E81EB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</w:tr>
      <w:tr w:rsidR="00C16BBB" w:rsidRPr="00772BFA" w14:paraId="2CC7189E" w14:textId="77777777" w:rsidTr="00A860B7">
        <w:tc>
          <w:tcPr>
            <w:tcW w:w="510" w:type="dxa"/>
            <w:shd w:val="clear" w:color="auto" w:fill="4472C4" w:themeFill="accent1"/>
          </w:tcPr>
          <w:p w14:paraId="3128CE41" w14:textId="44722BB1" w:rsidR="00C16BBB" w:rsidRDefault="00C16BBB" w:rsidP="00C16BBB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5.3</w:t>
            </w:r>
          </w:p>
        </w:tc>
        <w:tc>
          <w:tcPr>
            <w:tcW w:w="2320" w:type="dxa"/>
            <w:shd w:val="clear" w:color="auto" w:fill="4472C4" w:themeFill="accent1"/>
          </w:tcPr>
          <w:p w14:paraId="057D63B7" w14:textId="6F32B653" w:rsidR="00C16BBB" w:rsidRPr="003047C0" w:rsidRDefault="00C16BBB" w:rsidP="00C16BBB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Reporting mechanisms</w:t>
            </w:r>
          </w:p>
        </w:tc>
        <w:tc>
          <w:tcPr>
            <w:tcW w:w="4395" w:type="dxa"/>
          </w:tcPr>
          <w:p w14:paraId="05BCC3F6" w14:textId="77777777" w:rsidR="00C16BBB" w:rsidRDefault="00C16BBB" w:rsidP="00C16BBB">
            <w:pPr>
              <w:spacing w:before="100" w:beforeAutospacing="1" w:after="100" w:afterAutospacing="1"/>
            </w:pPr>
            <w:r>
              <w:t>Promote safe, confidential reporting mechanisms for employees to report bullying and harassment without fear of retaliation.</w:t>
            </w:r>
          </w:p>
          <w:p w14:paraId="36671DA0" w14:textId="4589F1AF" w:rsidR="005F7BA4" w:rsidRPr="00EB49CC" w:rsidRDefault="005F7BA4" w:rsidP="00C16BBB">
            <w:pPr>
              <w:spacing w:before="100" w:beforeAutospacing="1" w:after="100" w:afterAutospacing="1"/>
            </w:pPr>
          </w:p>
        </w:tc>
        <w:tc>
          <w:tcPr>
            <w:tcW w:w="2409" w:type="dxa"/>
            <w:vMerge/>
          </w:tcPr>
          <w:p w14:paraId="68FE4481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14:paraId="7D96F86E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</w:tcPr>
          <w:p w14:paraId="6ABB647E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C000"/>
          </w:tcPr>
          <w:p w14:paraId="320B23EB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3" w:type="dxa"/>
            <w:shd w:val="clear" w:color="auto" w:fill="00B050"/>
          </w:tcPr>
          <w:p w14:paraId="706DC8A8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  <w:tc>
          <w:tcPr>
            <w:tcW w:w="284" w:type="dxa"/>
            <w:shd w:val="clear" w:color="auto" w:fill="FF0000"/>
          </w:tcPr>
          <w:p w14:paraId="3EB7D083" w14:textId="77777777" w:rsidR="00C16BBB" w:rsidRPr="00772BFA" w:rsidRDefault="00C16BBB" w:rsidP="00C16BBB">
            <w:pPr>
              <w:rPr>
                <w:rFonts w:cstheme="minorHAnsi"/>
              </w:rPr>
            </w:pPr>
          </w:p>
        </w:tc>
      </w:tr>
    </w:tbl>
    <w:p w14:paraId="63FC293D" w14:textId="77777777" w:rsidR="007D350F" w:rsidRDefault="007D350F">
      <w:pPr>
        <w:rPr>
          <w:rFonts w:cstheme="minorHAnsi"/>
        </w:rPr>
      </w:pPr>
    </w:p>
    <w:p w14:paraId="16EDD5AC" w14:textId="77777777" w:rsidR="00FF2A0E" w:rsidRDefault="00FF2A0E">
      <w:pPr>
        <w:rPr>
          <w:rFonts w:cstheme="minorHAnsi"/>
        </w:rPr>
      </w:pPr>
    </w:p>
    <w:p w14:paraId="1E1E4C7B" w14:textId="77777777" w:rsidR="00FF2A0E" w:rsidRDefault="00FF2A0E">
      <w:pPr>
        <w:rPr>
          <w:rFonts w:cstheme="minorHAnsi"/>
        </w:rPr>
      </w:pPr>
    </w:p>
    <w:sectPr w:rsidR="00FF2A0E" w:rsidSect="00157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CEA5" w14:textId="77777777" w:rsidR="001B2B9C" w:rsidRDefault="001B2B9C" w:rsidP="00333E20">
      <w:pPr>
        <w:spacing w:after="0" w:line="240" w:lineRule="auto"/>
      </w:pPr>
      <w:r>
        <w:separator/>
      </w:r>
    </w:p>
  </w:endnote>
  <w:endnote w:type="continuationSeparator" w:id="0">
    <w:p w14:paraId="0ABF7F5E" w14:textId="77777777" w:rsidR="001B2B9C" w:rsidRDefault="001B2B9C" w:rsidP="0033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A9E4" w14:textId="77777777" w:rsidR="00333E20" w:rsidRDefault="00333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C02E" w14:textId="77777777" w:rsidR="00333E20" w:rsidRDefault="00333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BA41" w14:textId="77777777" w:rsidR="00333E20" w:rsidRDefault="0033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2D5" w14:textId="77777777" w:rsidR="001B2B9C" w:rsidRDefault="001B2B9C" w:rsidP="00333E20">
      <w:pPr>
        <w:spacing w:after="0" w:line="240" w:lineRule="auto"/>
      </w:pPr>
      <w:r>
        <w:separator/>
      </w:r>
    </w:p>
  </w:footnote>
  <w:footnote w:type="continuationSeparator" w:id="0">
    <w:p w14:paraId="4CB245F8" w14:textId="77777777" w:rsidR="001B2B9C" w:rsidRDefault="001B2B9C" w:rsidP="0033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9578" w14:textId="77777777" w:rsidR="00333E20" w:rsidRDefault="00333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9B0" w14:textId="48604A8C" w:rsidR="00333E20" w:rsidRDefault="00333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A30F" w14:textId="77777777" w:rsidR="00333E20" w:rsidRDefault="00333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563"/>
    <w:multiLevelType w:val="multilevel"/>
    <w:tmpl w:val="09FC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445F8"/>
    <w:multiLevelType w:val="multilevel"/>
    <w:tmpl w:val="F23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B7324"/>
    <w:multiLevelType w:val="multilevel"/>
    <w:tmpl w:val="D75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E0F2D"/>
    <w:multiLevelType w:val="multilevel"/>
    <w:tmpl w:val="AC62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87C61"/>
    <w:multiLevelType w:val="multilevel"/>
    <w:tmpl w:val="D796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336ED"/>
    <w:multiLevelType w:val="multilevel"/>
    <w:tmpl w:val="D966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51371"/>
    <w:multiLevelType w:val="multilevel"/>
    <w:tmpl w:val="19AC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C5633"/>
    <w:multiLevelType w:val="multilevel"/>
    <w:tmpl w:val="659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8197A"/>
    <w:multiLevelType w:val="multilevel"/>
    <w:tmpl w:val="283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773F6"/>
    <w:multiLevelType w:val="multilevel"/>
    <w:tmpl w:val="EB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833F0"/>
    <w:multiLevelType w:val="multilevel"/>
    <w:tmpl w:val="9D0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856F3"/>
    <w:multiLevelType w:val="multilevel"/>
    <w:tmpl w:val="F8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A21E4"/>
    <w:multiLevelType w:val="multilevel"/>
    <w:tmpl w:val="E56E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7189A"/>
    <w:multiLevelType w:val="multilevel"/>
    <w:tmpl w:val="10A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83211"/>
    <w:multiLevelType w:val="multilevel"/>
    <w:tmpl w:val="C1E4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E6815"/>
    <w:multiLevelType w:val="hybridMultilevel"/>
    <w:tmpl w:val="EF2E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A6CC5"/>
    <w:multiLevelType w:val="multilevel"/>
    <w:tmpl w:val="26B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C19C0"/>
    <w:multiLevelType w:val="multilevel"/>
    <w:tmpl w:val="1F4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0754C"/>
    <w:multiLevelType w:val="multilevel"/>
    <w:tmpl w:val="714C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293230">
    <w:abstractNumId w:val="1"/>
  </w:num>
  <w:num w:numId="2" w16cid:durableId="704906368">
    <w:abstractNumId w:val="10"/>
  </w:num>
  <w:num w:numId="3" w16cid:durableId="1182624248">
    <w:abstractNumId w:val="16"/>
  </w:num>
  <w:num w:numId="4" w16cid:durableId="835219411">
    <w:abstractNumId w:val="4"/>
  </w:num>
  <w:num w:numId="5" w16cid:durableId="1297761415">
    <w:abstractNumId w:val="13"/>
  </w:num>
  <w:num w:numId="6" w16cid:durableId="327560271">
    <w:abstractNumId w:val="6"/>
  </w:num>
  <w:num w:numId="7" w16cid:durableId="1170370836">
    <w:abstractNumId w:val="3"/>
  </w:num>
  <w:num w:numId="8" w16cid:durableId="925267430">
    <w:abstractNumId w:val="7"/>
  </w:num>
  <w:num w:numId="9" w16cid:durableId="659506978">
    <w:abstractNumId w:val="12"/>
  </w:num>
  <w:num w:numId="10" w16cid:durableId="1751805919">
    <w:abstractNumId w:val="14"/>
  </w:num>
  <w:num w:numId="11" w16cid:durableId="488013642">
    <w:abstractNumId w:val="5"/>
  </w:num>
  <w:num w:numId="12" w16cid:durableId="159540520">
    <w:abstractNumId w:val="0"/>
  </w:num>
  <w:num w:numId="13" w16cid:durableId="1920170897">
    <w:abstractNumId w:val="18"/>
  </w:num>
  <w:num w:numId="14" w16cid:durableId="438334203">
    <w:abstractNumId w:val="8"/>
  </w:num>
  <w:num w:numId="15" w16cid:durableId="1548028499">
    <w:abstractNumId w:val="11"/>
  </w:num>
  <w:num w:numId="16" w16cid:durableId="368188297">
    <w:abstractNumId w:val="9"/>
  </w:num>
  <w:num w:numId="17" w16cid:durableId="631400401">
    <w:abstractNumId w:val="17"/>
  </w:num>
  <w:num w:numId="18" w16cid:durableId="748888069">
    <w:abstractNumId w:val="2"/>
  </w:num>
  <w:num w:numId="19" w16cid:durableId="732506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FC"/>
    <w:rsid w:val="00035878"/>
    <w:rsid w:val="000358A8"/>
    <w:rsid w:val="00045AF4"/>
    <w:rsid w:val="00054B39"/>
    <w:rsid w:val="00066198"/>
    <w:rsid w:val="0007033A"/>
    <w:rsid w:val="00070B6F"/>
    <w:rsid w:val="00087A98"/>
    <w:rsid w:val="0009364C"/>
    <w:rsid w:val="00096F17"/>
    <w:rsid w:val="000A179A"/>
    <w:rsid w:val="000B0074"/>
    <w:rsid w:val="000B286C"/>
    <w:rsid w:val="000C79AD"/>
    <w:rsid w:val="000D2F47"/>
    <w:rsid w:val="000D5291"/>
    <w:rsid w:val="000E7A5C"/>
    <w:rsid w:val="000F2A3E"/>
    <w:rsid w:val="001003AA"/>
    <w:rsid w:val="00116AAF"/>
    <w:rsid w:val="00146040"/>
    <w:rsid w:val="00157CFC"/>
    <w:rsid w:val="001610BF"/>
    <w:rsid w:val="00162849"/>
    <w:rsid w:val="00174D14"/>
    <w:rsid w:val="001808E2"/>
    <w:rsid w:val="00181C4D"/>
    <w:rsid w:val="00182E56"/>
    <w:rsid w:val="00184615"/>
    <w:rsid w:val="00186429"/>
    <w:rsid w:val="001A469C"/>
    <w:rsid w:val="001A4890"/>
    <w:rsid w:val="001A6E74"/>
    <w:rsid w:val="001A6F8B"/>
    <w:rsid w:val="001B2B9C"/>
    <w:rsid w:val="001D20D1"/>
    <w:rsid w:val="001D315D"/>
    <w:rsid w:val="001D6D61"/>
    <w:rsid w:val="001F1889"/>
    <w:rsid w:val="0021682B"/>
    <w:rsid w:val="00224700"/>
    <w:rsid w:val="00226BE3"/>
    <w:rsid w:val="002339B6"/>
    <w:rsid w:val="00250F55"/>
    <w:rsid w:val="00262E21"/>
    <w:rsid w:val="00265FF1"/>
    <w:rsid w:val="00276BEC"/>
    <w:rsid w:val="0028054D"/>
    <w:rsid w:val="0028060A"/>
    <w:rsid w:val="00290AB3"/>
    <w:rsid w:val="0029141F"/>
    <w:rsid w:val="00293B54"/>
    <w:rsid w:val="0029681D"/>
    <w:rsid w:val="002A2C5C"/>
    <w:rsid w:val="002B0381"/>
    <w:rsid w:val="002B4C8A"/>
    <w:rsid w:val="002B7EC4"/>
    <w:rsid w:val="002D2822"/>
    <w:rsid w:val="002D7898"/>
    <w:rsid w:val="002F6783"/>
    <w:rsid w:val="003047C0"/>
    <w:rsid w:val="00304A72"/>
    <w:rsid w:val="0030547A"/>
    <w:rsid w:val="00311364"/>
    <w:rsid w:val="00311536"/>
    <w:rsid w:val="003119E2"/>
    <w:rsid w:val="003129DD"/>
    <w:rsid w:val="00314981"/>
    <w:rsid w:val="00315030"/>
    <w:rsid w:val="0032129D"/>
    <w:rsid w:val="00324C61"/>
    <w:rsid w:val="00333E20"/>
    <w:rsid w:val="00335E32"/>
    <w:rsid w:val="00340F72"/>
    <w:rsid w:val="003416AC"/>
    <w:rsid w:val="00351861"/>
    <w:rsid w:val="00351E5E"/>
    <w:rsid w:val="0036168B"/>
    <w:rsid w:val="00367B8B"/>
    <w:rsid w:val="003773D7"/>
    <w:rsid w:val="0038183B"/>
    <w:rsid w:val="0038300F"/>
    <w:rsid w:val="003867AA"/>
    <w:rsid w:val="00393951"/>
    <w:rsid w:val="00394F0F"/>
    <w:rsid w:val="003A2670"/>
    <w:rsid w:val="003A36B0"/>
    <w:rsid w:val="003A65E5"/>
    <w:rsid w:val="003A67A1"/>
    <w:rsid w:val="003C4A6E"/>
    <w:rsid w:val="003D0F62"/>
    <w:rsid w:val="003D0FE8"/>
    <w:rsid w:val="003D4D08"/>
    <w:rsid w:val="003E5716"/>
    <w:rsid w:val="003F6984"/>
    <w:rsid w:val="0040595A"/>
    <w:rsid w:val="004166C9"/>
    <w:rsid w:val="004168AD"/>
    <w:rsid w:val="00436FAB"/>
    <w:rsid w:val="00437472"/>
    <w:rsid w:val="004509FE"/>
    <w:rsid w:val="00464F60"/>
    <w:rsid w:val="00465F4C"/>
    <w:rsid w:val="00480527"/>
    <w:rsid w:val="004815C0"/>
    <w:rsid w:val="004853F2"/>
    <w:rsid w:val="00486B77"/>
    <w:rsid w:val="00491990"/>
    <w:rsid w:val="00491C6D"/>
    <w:rsid w:val="00494D24"/>
    <w:rsid w:val="004A0146"/>
    <w:rsid w:val="004A6AAB"/>
    <w:rsid w:val="004A6CAA"/>
    <w:rsid w:val="004A70B3"/>
    <w:rsid w:val="004C48DB"/>
    <w:rsid w:val="004F0CC1"/>
    <w:rsid w:val="004F280F"/>
    <w:rsid w:val="00507671"/>
    <w:rsid w:val="00514EAB"/>
    <w:rsid w:val="00516DB3"/>
    <w:rsid w:val="00521685"/>
    <w:rsid w:val="00541818"/>
    <w:rsid w:val="00542378"/>
    <w:rsid w:val="00551C80"/>
    <w:rsid w:val="005572C7"/>
    <w:rsid w:val="00572D0C"/>
    <w:rsid w:val="00574264"/>
    <w:rsid w:val="00576E6B"/>
    <w:rsid w:val="0059381C"/>
    <w:rsid w:val="00593DE5"/>
    <w:rsid w:val="00595754"/>
    <w:rsid w:val="005A33B1"/>
    <w:rsid w:val="005B1E8A"/>
    <w:rsid w:val="005C1003"/>
    <w:rsid w:val="005C31B1"/>
    <w:rsid w:val="005C6AF0"/>
    <w:rsid w:val="005D5EF1"/>
    <w:rsid w:val="005E14DA"/>
    <w:rsid w:val="005E345B"/>
    <w:rsid w:val="005E73DF"/>
    <w:rsid w:val="005F4B69"/>
    <w:rsid w:val="005F5A45"/>
    <w:rsid w:val="005F5B4B"/>
    <w:rsid w:val="005F7BA4"/>
    <w:rsid w:val="0060417E"/>
    <w:rsid w:val="006211CE"/>
    <w:rsid w:val="00623E64"/>
    <w:rsid w:val="00635C37"/>
    <w:rsid w:val="00641A77"/>
    <w:rsid w:val="00644703"/>
    <w:rsid w:val="00646BAB"/>
    <w:rsid w:val="006470B1"/>
    <w:rsid w:val="00651642"/>
    <w:rsid w:val="00655187"/>
    <w:rsid w:val="00657091"/>
    <w:rsid w:val="00660CF1"/>
    <w:rsid w:val="006717BC"/>
    <w:rsid w:val="00672A94"/>
    <w:rsid w:val="006733B2"/>
    <w:rsid w:val="00690DD7"/>
    <w:rsid w:val="00692C8D"/>
    <w:rsid w:val="00696B6A"/>
    <w:rsid w:val="0069786F"/>
    <w:rsid w:val="006A79AD"/>
    <w:rsid w:val="006B69BD"/>
    <w:rsid w:val="006B798E"/>
    <w:rsid w:val="006C745E"/>
    <w:rsid w:val="006C79E1"/>
    <w:rsid w:val="006E3EFC"/>
    <w:rsid w:val="006E572E"/>
    <w:rsid w:val="006E644D"/>
    <w:rsid w:val="006F3545"/>
    <w:rsid w:val="006F6157"/>
    <w:rsid w:val="006F74EB"/>
    <w:rsid w:val="00703731"/>
    <w:rsid w:val="00707074"/>
    <w:rsid w:val="007341A7"/>
    <w:rsid w:val="007346F3"/>
    <w:rsid w:val="00740C50"/>
    <w:rsid w:val="00762530"/>
    <w:rsid w:val="00764894"/>
    <w:rsid w:val="00772BFA"/>
    <w:rsid w:val="00773FF0"/>
    <w:rsid w:val="00777DE7"/>
    <w:rsid w:val="007848BF"/>
    <w:rsid w:val="00785CA0"/>
    <w:rsid w:val="00791129"/>
    <w:rsid w:val="00794AD9"/>
    <w:rsid w:val="007A21BB"/>
    <w:rsid w:val="007A4215"/>
    <w:rsid w:val="007A66B8"/>
    <w:rsid w:val="007C13F4"/>
    <w:rsid w:val="007C37FD"/>
    <w:rsid w:val="007C6570"/>
    <w:rsid w:val="007D350F"/>
    <w:rsid w:val="007D6D67"/>
    <w:rsid w:val="007D78D7"/>
    <w:rsid w:val="007E3074"/>
    <w:rsid w:val="007E59A0"/>
    <w:rsid w:val="007F3357"/>
    <w:rsid w:val="008006C2"/>
    <w:rsid w:val="0082256F"/>
    <w:rsid w:val="008365C6"/>
    <w:rsid w:val="00841AB9"/>
    <w:rsid w:val="00846381"/>
    <w:rsid w:val="00863136"/>
    <w:rsid w:val="0087213B"/>
    <w:rsid w:val="00885884"/>
    <w:rsid w:val="00891222"/>
    <w:rsid w:val="0089521B"/>
    <w:rsid w:val="008A6C25"/>
    <w:rsid w:val="008B06B1"/>
    <w:rsid w:val="008B2474"/>
    <w:rsid w:val="008D36E4"/>
    <w:rsid w:val="008D5B0C"/>
    <w:rsid w:val="008D6124"/>
    <w:rsid w:val="008D6823"/>
    <w:rsid w:val="008F7440"/>
    <w:rsid w:val="00905CF5"/>
    <w:rsid w:val="009104E1"/>
    <w:rsid w:val="00910558"/>
    <w:rsid w:val="0091081F"/>
    <w:rsid w:val="00927110"/>
    <w:rsid w:val="0093009C"/>
    <w:rsid w:val="00930265"/>
    <w:rsid w:val="00933CD1"/>
    <w:rsid w:val="00945B28"/>
    <w:rsid w:val="009464A3"/>
    <w:rsid w:val="009513F6"/>
    <w:rsid w:val="0095342E"/>
    <w:rsid w:val="00962C9F"/>
    <w:rsid w:val="00967369"/>
    <w:rsid w:val="0097661B"/>
    <w:rsid w:val="009802C5"/>
    <w:rsid w:val="00981C4B"/>
    <w:rsid w:val="009825A3"/>
    <w:rsid w:val="00984E0A"/>
    <w:rsid w:val="0099045F"/>
    <w:rsid w:val="00995493"/>
    <w:rsid w:val="00995B84"/>
    <w:rsid w:val="00996E6E"/>
    <w:rsid w:val="009A180A"/>
    <w:rsid w:val="009C090B"/>
    <w:rsid w:val="009C4CAD"/>
    <w:rsid w:val="009F2DC2"/>
    <w:rsid w:val="00A0199F"/>
    <w:rsid w:val="00A24930"/>
    <w:rsid w:val="00A26785"/>
    <w:rsid w:val="00A32E96"/>
    <w:rsid w:val="00A3346C"/>
    <w:rsid w:val="00A41C27"/>
    <w:rsid w:val="00A4646F"/>
    <w:rsid w:val="00A47EED"/>
    <w:rsid w:val="00A60709"/>
    <w:rsid w:val="00A61667"/>
    <w:rsid w:val="00A6579C"/>
    <w:rsid w:val="00A70FD3"/>
    <w:rsid w:val="00A80D88"/>
    <w:rsid w:val="00A820AF"/>
    <w:rsid w:val="00A860B7"/>
    <w:rsid w:val="00A973B1"/>
    <w:rsid w:val="00AA4351"/>
    <w:rsid w:val="00AB45D0"/>
    <w:rsid w:val="00AB512F"/>
    <w:rsid w:val="00B0418C"/>
    <w:rsid w:val="00B04899"/>
    <w:rsid w:val="00B1580E"/>
    <w:rsid w:val="00B3542E"/>
    <w:rsid w:val="00B434B6"/>
    <w:rsid w:val="00B72C68"/>
    <w:rsid w:val="00B83962"/>
    <w:rsid w:val="00B849A5"/>
    <w:rsid w:val="00B95DAC"/>
    <w:rsid w:val="00BD5884"/>
    <w:rsid w:val="00BD5887"/>
    <w:rsid w:val="00BD7A9E"/>
    <w:rsid w:val="00BE2A07"/>
    <w:rsid w:val="00BE5EEE"/>
    <w:rsid w:val="00BF3A9C"/>
    <w:rsid w:val="00BF4C3D"/>
    <w:rsid w:val="00BF6F92"/>
    <w:rsid w:val="00C00701"/>
    <w:rsid w:val="00C024AE"/>
    <w:rsid w:val="00C030D8"/>
    <w:rsid w:val="00C12A9B"/>
    <w:rsid w:val="00C13E26"/>
    <w:rsid w:val="00C16BBB"/>
    <w:rsid w:val="00C16C80"/>
    <w:rsid w:val="00C40082"/>
    <w:rsid w:val="00C44584"/>
    <w:rsid w:val="00C47A4A"/>
    <w:rsid w:val="00C561BF"/>
    <w:rsid w:val="00C65AAB"/>
    <w:rsid w:val="00C70E28"/>
    <w:rsid w:val="00C74B68"/>
    <w:rsid w:val="00C835BE"/>
    <w:rsid w:val="00C84A76"/>
    <w:rsid w:val="00C87003"/>
    <w:rsid w:val="00CB6026"/>
    <w:rsid w:val="00CD4DED"/>
    <w:rsid w:val="00CF33D2"/>
    <w:rsid w:val="00D05671"/>
    <w:rsid w:val="00D05881"/>
    <w:rsid w:val="00D07A32"/>
    <w:rsid w:val="00D125FE"/>
    <w:rsid w:val="00D130C8"/>
    <w:rsid w:val="00D14308"/>
    <w:rsid w:val="00D25286"/>
    <w:rsid w:val="00D34D1A"/>
    <w:rsid w:val="00D4043F"/>
    <w:rsid w:val="00D5207B"/>
    <w:rsid w:val="00D56830"/>
    <w:rsid w:val="00D72E0D"/>
    <w:rsid w:val="00D80566"/>
    <w:rsid w:val="00D83B61"/>
    <w:rsid w:val="00D84508"/>
    <w:rsid w:val="00D96997"/>
    <w:rsid w:val="00DA3884"/>
    <w:rsid w:val="00DA4965"/>
    <w:rsid w:val="00DC54FB"/>
    <w:rsid w:val="00DC5C9C"/>
    <w:rsid w:val="00DE761E"/>
    <w:rsid w:val="00DF2441"/>
    <w:rsid w:val="00DF3356"/>
    <w:rsid w:val="00E0402A"/>
    <w:rsid w:val="00E06179"/>
    <w:rsid w:val="00E11651"/>
    <w:rsid w:val="00E15630"/>
    <w:rsid w:val="00E257A8"/>
    <w:rsid w:val="00E31F06"/>
    <w:rsid w:val="00E341DA"/>
    <w:rsid w:val="00E357BD"/>
    <w:rsid w:val="00E57029"/>
    <w:rsid w:val="00E66875"/>
    <w:rsid w:val="00E7201F"/>
    <w:rsid w:val="00E723F4"/>
    <w:rsid w:val="00E8602B"/>
    <w:rsid w:val="00E925FD"/>
    <w:rsid w:val="00EA0B60"/>
    <w:rsid w:val="00EA15B8"/>
    <w:rsid w:val="00EA18A4"/>
    <w:rsid w:val="00EA74A9"/>
    <w:rsid w:val="00EB181F"/>
    <w:rsid w:val="00EB49CC"/>
    <w:rsid w:val="00EB6132"/>
    <w:rsid w:val="00EC6B6A"/>
    <w:rsid w:val="00ED6AAE"/>
    <w:rsid w:val="00EF3556"/>
    <w:rsid w:val="00EF5384"/>
    <w:rsid w:val="00EF6952"/>
    <w:rsid w:val="00F05181"/>
    <w:rsid w:val="00F20AD2"/>
    <w:rsid w:val="00F32897"/>
    <w:rsid w:val="00F37696"/>
    <w:rsid w:val="00F40BD5"/>
    <w:rsid w:val="00F42822"/>
    <w:rsid w:val="00F4520A"/>
    <w:rsid w:val="00F647C6"/>
    <w:rsid w:val="00F70E4B"/>
    <w:rsid w:val="00F8093A"/>
    <w:rsid w:val="00F81A1A"/>
    <w:rsid w:val="00FB227A"/>
    <w:rsid w:val="00FB4825"/>
    <w:rsid w:val="00FC1AAB"/>
    <w:rsid w:val="00FC1AEB"/>
    <w:rsid w:val="00FC1CF2"/>
    <w:rsid w:val="00FC395E"/>
    <w:rsid w:val="00FD67AA"/>
    <w:rsid w:val="00FF2A0E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B3E61"/>
  <w15:chartTrackingRefBased/>
  <w15:docId w15:val="{F132ACD1-CB53-43DA-A5CB-632FA6D0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C7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333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E20"/>
  </w:style>
  <w:style w:type="paragraph" w:styleId="Footer">
    <w:name w:val="footer"/>
    <w:basedOn w:val="Normal"/>
    <w:link w:val="FooterChar"/>
    <w:uiPriority w:val="99"/>
    <w:unhideWhenUsed/>
    <w:rsid w:val="00333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20"/>
  </w:style>
  <w:style w:type="character" w:styleId="Strong">
    <w:name w:val="Strong"/>
    <w:basedOn w:val="DefaultParagraphFont"/>
    <w:uiPriority w:val="22"/>
    <w:qFormat/>
    <w:rsid w:val="00CB60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7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E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122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RAI, Kiran (NHS ARDEN AND GREATER EAST MIDLANDS COMMISSIONING SUPPORT UNIT)</dc:creator>
  <cp:keywords/>
  <dc:description/>
  <cp:lastModifiedBy>RAI, Kiran (NHS ARDEN AND GREATER EAST MIDLANDS COMMISSIONING SUPPORT UNIT)</cp:lastModifiedBy>
  <cp:revision>91</cp:revision>
  <dcterms:created xsi:type="dcterms:W3CDTF">2024-12-11T12:01:00Z</dcterms:created>
  <dcterms:modified xsi:type="dcterms:W3CDTF">2025-02-27T13:47:00Z</dcterms:modified>
</cp:coreProperties>
</file>