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01"/>
      </w:tblGrid>
      <w:tr w:rsidR="00196F50" w:rsidRPr="004B77AE" w14:paraId="7F0C9915" w14:textId="77777777" w:rsidTr="0004281F">
        <w:tc>
          <w:tcPr>
            <w:tcW w:w="8901" w:type="dxa"/>
          </w:tcPr>
          <w:p w14:paraId="2502FF65" w14:textId="274CAD1F" w:rsidR="00196F50" w:rsidRPr="004B77AE" w:rsidRDefault="00196F50" w:rsidP="00196F50">
            <w:pPr>
              <w:pStyle w:val="Subtitle"/>
              <w:rPr>
                <w:rFonts w:cs="Arial"/>
              </w:rPr>
            </w:pPr>
            <w:r w:rsidRPr="004B77AE">
              <w:rPr>
                <w:rFonts w:cs="Arial"/>
              </w:rPr>
              <w:t>NHS Equality Delivery System</w:t>
            </w:r>
            <w:r w:rsidR="00F12E22" w:rsidRPr="004B77AE">
              <w:rPr>
                <w:rFonts w:cs="Arial"/>
              </w:rPr>
              <w:t xml:space="preserve"> 2022</w:t>
            </w:r>
          </w:p>
        </w:tc>
      </w:tr>
      <w:tr w:rsidR="00A31A7A" w:rsidRPr="004B77AE" w14:paraId="0B55A410" w14:textId="77777777" w:rsidTr="0004281F">
        <w:tc>
          <w:tcPr>
            <w:tcW w:w="8901" w:type="dxa"/>
            <w:tcMar>
              <w:bottom w:w="0" w:type="dxa"/>
            </w:tcMar>
          </w:tcPr>
          <w:p w14:paraId="2159C134" w14:textId="457A365A" w:rsidR="00A31A7A" w:rsidRPr="004B77AE" w:rsidRDefault="00196F50" w:rsidP="00C76139">
            <w:pPr>
              <w:pStyle w:val="Heading1"/>
            </w:pPr>
            <w:bookmarkStart w:id="0" w:name="_Toc166768094"/>
            <w:r w:rsidRPr="004B77AE">
              <w:t xml:space="preserve">EDS Reporting </w:t>
            </w:r>
            <w:r w:rsidR="000671F9" w:rsidRPr="004B77AE">
              <w:t>April 2023 to March 2024</w:t>
            </w:r>
            <w:bookmarkEnd w:id="0"/>
          </w:p>
        </w:tc>
      </w:tr>
      <w:tr w:rsidR="00A31A7A" w:rsidRPr="004B77AE" w14:paraId="28C9EAFF" w14:textId="77777777" w:rsidTr="0004281F">
        <w:tc>
          <w:tcPr>
            <w:tcW w:w="8901" w:type="dxa"/>
            <w:tcMar>
              <w:bottom w:w="851" w:type="dxa"/>
            </w:tcMar>
          </w:tcPr>
          <w:p w14:paraId="739CFD0C" w14:textId="77777777" w:rsidR="00A31A7A" w:rsidRDefault="00A31A7A" w:rsidP="00E33027">
            <w:pPr>
              <w:pStyle w:val="Subtitle"/>
              <w:rPr>
                <w:rFonts w:cs="Arial"/>
              </w:rPr>
            </w:pPr>
          </w:p>
          <w:p w14:paraId="6F83A7D1" w14:textId="68A49B1C" w:rsidR="00092477" w:rsidRPr="00092477" w:rsidRDefault="00092477" w:rsidP="00092477">
            <w:pPr>
              <w:tabs>
                <w:tab w:val="left" w:pos="5985"/>
              </w:tabs>
            </w:pPr>
            <w:r>
              <w:tab/>
            </w:r>
          </w:p>
        </w:tc>
      </w:tr>
      <w:tr w:rsidR="00A31A7A" w:rsidRPr="004B77AE" w14:paraId="3E5F6F1D" w14:textId="77777777" w:rsidTr="0004281F">
        <w:tc>
          <w:tcPr>
            <w:tcW w:w="8901" w:type="dxa"/>
          </w:tcPr>
          <w:p w14:paraId="65490C08" w14:textId="45ACA481" w:rsidR="00A31A7A" w:rsidRPr="004B77AE" w:rsidRDefault="00A31A7A" w:rsidP="00E33027">
            <w:pPr>
              <w:pStyle w:val="Date"/>
              <w:rPr>
                <w:rFonts w:cs="Arial"/>
              </w:rPr>
            </w:pPr>
            <w:r w:rsidRPr="004B77AE">
              <w:rPr>
                <w:rFonts w:cs="Arial"/>
              </w:rPr>
              <w:t xml:space="preserve">Version </w:t>
            </w:r>
            <w:r w:rsidR="000139EF" w:rsidRPr="004B77AE">
              <w:rPr>
                <w:rFonts w:cs="Arial"/>
              </w:rPr>
              <w:t>1</w:t>
            </w:r>
            <w:r w:rsidRPr="004B77AE">
              <w:rPr>
                <w:rFonts w:cs="Arial"/>
              </w:rPr>
              <w:t xml:space="preserve">, </w:t>
            </w:r>
            <w:sdt>
              <w:sdtPr>
                <w:rPr>
                  <w:rFonts w:cs="Arial"/>
                </w:rPr>
                <w:alias w:val="Date"/>
                <w:id w:val="-1613351165"/>
                <w:placeholder>
                  <w:docPart w:val="D9462B11D0614DB28C23223F5CD21B3E"/>
                </w:placeholder>
                <w:date w:fullDate="2022-08-15T00:00:00Z">
                  <w:dateFormat w:val="d MMMM yyyy"/>
                  <w:lid w:val="en-GB"/>
                  <w:storeMappedDataAs w:val="dateTime"/>
                  <w:calendar w:val="gregorian"/>
                </w:date>
              </w:sdtPr>
              <w:sdtEndPr/>
              <w:sdtContent>
                <w:r w:rsidR="004D30D3" w:rsidRPr="004B77AE">
                  <w:rPr>
                    <w:rFonts w:cs="Arial"/>
                  </w:rPr>
                  <w:t>15 August 2022</w:t>
                </w:r>
              </w:sdtContent>
            </w:sdt>
          </w:p>
        </w:tc>
      </w:tr>
    </w:tbl>
    <w:p w14:paraId="1D172B94" w14:textId="58E3CF4E" w:rsidR="008E6AE9" w:rsidRPr="00500A4F" w:rsidRDefault="008E6AE9" w:rsidP="007542A0">
      <w:pPr>
        <w:rPr>
          <w:rFonts w:ascii="Tenorite" w:hAnsi="Tenorite" w:cs="Arial"/>
        </w:rPr>
      </w:pPr>
    </w:p>
    <w:tbl>
      <w:tblPr>
        <w:tblStyle w:val="TableGrid"/>
        <w:tblpPr w:vertAnchor="page" w:horzAnchor="margin" w:tblpY="918"/>
        <w:tblOverlap w:val="never"/>
        <w:tblW w:w="6727" w:type="dxa"/>
        <w:tblLook w:val="04A0" w:firstRow="1" w:lastRow="0" w:firstColumn="1" w:lastColumn="0" w:noHBand="0" w:noVBand="1"/>
      </w:tblPr>
      <w:tblGrid>
        <w:gridCol w:w="6727"/>
      </w:tblGrid>
      <w:tr w:rsidR="00C94874" w:rsidRPr="00500A4F" w14:paraId="5C626D43" w14:textId="77777777" w:rsidTr="007808F8">
        <w:trPr>
          <w:trHeight w:val="642"/>
        </w:trPr>
        <w:sdt>
          <w:sdtPr>
            <w:rPr>
              <w:rFonts w:cs="Arial"/>
            </w:rPr>
            <w:alias w:val="Protective Marking"/>
            <w:tag w:val="Protective Marking"/>
            <w:id w:val="-1097942897"/>
            <w:placeholder>
              <w:docPart w:val="0FEBBD3197144BD8A9B2BFE9BCED6D6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2F86AB32" w14:textId="5C96C135" w:rsidR="00C94874" w:rsidRPr="004B77AE" w:rsidRDefault="004D30D3" w:rsidP="007808F8">
                <w:pPr>
                  <w:pStyle w:val="Classification"/>
                  <w:rPr>
                    <w:rFonts w:cs="Arial"/>
                  </w:rPr>
                </w:pPr>
                <w:r w:rsidRPr="004B77AE">
                  <w:rPr>
                    <w:rFonts w:cs="Arial"/>
                  </w:rPr>
                  <w:t>Classification: Official</w:t>
                </w:r>
              </w:p>
            </w:tc>
          </w:sdtContent>
        </w:sdt>
      </w:tr>
      <w:tr w:rsidR="00C94874" w:rsidRPr="00500A4F" w14:paraId="5FFCF3DF" w14:textId="77777777" w:rsidTr="007808F8">
        <w:tc>
          <w:tcPr>
            <w:tcW w:w="8901" w:type="dxa"/>
          </w:tcPr>
          <w:p w14:paraId="470683D9" w14:textId="41190EFC" w:rsidR="00C94874" w:rsidRPr="004B77AE" w:rsidRDefault="00C94874" w:rsidP="007808F8">
            <w:pPr>
              <w:pStyle w:val="Classification"/>
              <w:rPr>
                <w:rFonts w:cs="Arial"/>
              </w:rPr>
            </w:pPr>
            <w:r w:rsidRPr="004B77AE">
              <w:rPr>
                <w:rFonts w:cs="Arial"/>
              </w:rPr>
              <w:t xml:space="preserve">Publication approval reference: </w:t>
            </w:r>
            <w:r w:rsidR="008842BC" w:rsidRPr="004B77AE">
              <w:rPr>
                <w:rFonts w:cs="Arial"/>
              </w:rPr>
              <w:t>PAR1262</w:t>
            </w:r>
          </w:p>
        </w:tc>
      </w:tr>
    </w:tbl>
    <w:p w14:paraId="42BB8F1A" w14:textId="77777777" w:rsidR="001241F4" w:rsidRPr="00500A4F" w:rsidRDefault="001241F4" w:rsidP="00991A82">
      <w:pPr>
        <w:rPr>
          <w:rFonts w:ascii="Tenorite" w:hAnsi="Tenorite" w:cs="Arial"/>
        </w:rPr>
        <w:sectPr w:rsidR="001241F4" w:rsidRPr="00500A4F" w:rsidSect="0021516C">
          <w:headerReference w:type="default" r:id="rId11"/>
          <w:pgSz w:w="16838" w:h="11906" w:orient="landscape" w:code="9"/>
          <w:pgMar w:top="1077" w:right="5103" w:bottom="1928" w:left="1134" w:header="709" w:footer="709" w:gutter="0"/>
          <w:cols w:space="708"/>
          <w:docGrid w:linePitch="360"/>
        </w:sectPr>
      </w:pPr>
    </w:p>
    <w:sdt>
      <w:sdtPr>
        <w:rPr>
          <w:rFonts w:eastAsiaTheme="minorHAnsi" w:cstheme="minorBidi"/>
          <w:b w:val="0"/>
          <w:color w:val="231F20"/>
          <w:sz w:val="24"/>
          <w:szCs w:val="24"/>
        </w:rPr>
        <w:id w:val="441956114"/>
        <w:docPartObj>
          <w:docPartGallery w:val="Table of Contents"/>
          <w:docPartUnique/>
        </w:docPartObj>
      </w:sdtPr>
      <w:sdtEndPr>
        <w:rPr>
          <w:bCs/>
          <w:noProof/>
        </w:rPr>
      </w:sdtEndPr>
      <w:sdtContent>
        <w:p w14:paraId="536FD3F1" w14:textId="0C8C729C" w:rsidR="00C244C7" w:rsidRDefault="00C244C7">
          <w:pPr>
            <w:pStyle w:val="TOCHeading"/>
          </w:pPr>
          <w:r>
            <w:t>Contents</w:t>
          </w:r>
        </w:p>
        <w:p w14:paraId="66755A2A" w14:textId="4A2B35AD" w:rsidR="00C244C7" w:rsidRDefault="00C244C7" w:rsidP="00C244C7">
          <w:pPr>
            <w:pStyle w:val="TOC1"/>
            <w:rPr>
              <w:rFonts w:asciiTheme="minorHAnsi" w:eastAsiaTheme="minorEastAsia" w:hAnsiTheme="minorHAnsi"/>
              <w:noProof/>
              <w:color w:val="auto"/>
              <w:kern w:val="2"/>
              <w:sz w:val="22"/>
              <w:szCs w:val="22"/>
              <w:lang w:eastAsia="en-GB"/>
              <w14:ligatures w14:val="standardContextual"/>
            </w:rPr>
          </w:pPr>
          <w:r>
            <w:fldChar w:fldCharType="begin"/>
          </w:r>
          <w:r>
            <w:instrText xml:space="preserve"> TOC \o "1-3" \h \z \u </w:instrText>
          </w:r>
          <w:r>
            <w:fldChar w:fldCharType="separate"/>
          </w:r>
          <w:hyperlink w:anchor="_Toc166768094" w:history="1"/>
          <w:hyperlink w:anchor="_Toc166768095" w:history="1">
            <w:r w:rsidRPr="00776981">
              <w:rPr>
                <w:rStyle w:val="Hyperlink"/>
                <w:noProof/>
              </w:rPr>
              <w:t>Equality Delivery System for the NHS</w:t>
            </w:r>
            <w:r>
              <w:rPr>
                <w:noProof/>
                <w:webHidden/>
              </w:rPr>
              <w:tab/>
            </w:r>
            <w:r>
              <w:rPr>
                <w:noProof/>
                <w:webHidden/>
              </w:rPr>
              <w:fldChar w:fldCharType="begin"/>
            </w:r>
            <w:r>
              <w:rPr>
                <w:noProof/>
                <w:webHidden/>
              </w:rPr>
              <w:instrText xml:space="preserve"> PAGEREF _Toc166768095 \h </w:instrText>
            </w:r>
            <w:r>
              <w:rPr>
                <w:noProof/>
                <w:webHidden/>
              </w:rPr>
            </w:r>
            <w:r>
              <w:rPr>
                <w:noProof/>
                <w:webHidden/>
              </w:rPr>
              <w:fldChar w:fldCharType="separate"/>
            </w:r>
            <w:r>
              <w:rPr>
                <w:noProof/>
                <w:webHidden/>
              </w:rPr>
              <w:t>2</w:t>
            </w:r>
            <w:r>
              <w:rPr>
                <w:noProof/>
                <w:webHidden/>
              </w:rPr>
              <w:fldChar w:fldCharType="end"/>
            </w:r>
          </w:hyperlink>
        </w:p>
        <w:p w14:paraId="3F10D932" w14:textId="175D8E84" w:rsidR="00C244C7" w:rsidRDefault="007C3F63">
          <w:pPr>
            <w:pStyle w:val="TOC2"/>
            <w:rPr>
              <w:rFonts w:asciiTheme="minorHAnsi" w:eastAsiaTheme="minorEastAsia" w:hAnsiTheme="minorHAnsi"/>
              <w:noProof/>
              <w:color w:val="auto"/>
              <w:kern w:val="2"/>
              <w:sz w:val="22"/>
              <w:szCs w:val="22"/>
              <w:lang w:eastAsia="en-GB"/>
              <w14:ligatures w14:val="standardContextual"/>
            </w:rPr>
          </w:pPr>
          <w:hyperlink w:anchor="_Toc166768096" w:history="1">
            <w:r w:rsidR="00C244C7" w:rsidRPr="00776981">
              <w:rPr>
                <w:rStyle w:val="Hyperlink"/>
                <w:rFonts w:cs="Arial"/>
                <w:noProof/>
              </w:rPr>
              <w:t>The EDS Reporting Template</w:t>
            </w:r>
            <w:r w:rsidR="00C244C7">
              <w:rPr>
                <w:noProof/>
                <w:webHidden/>
              </w:rPr>
              <w:tab/>
            </w:r>
            <w:r w:rsidR="00C244C7">
              <w:rPr>
                <w:noProof/>
                <w:webHidden/>
              </w:rPr>
              <w:fldChar w:fldCharType="begin"/>
            </w:r>
            <w:r w:rsidR="00C244C7">
              <w:rPr>
                <w:noProof/>
                <w:webHidden/>
              </w:rPr>
              <w:instrText xml:space="preserve"> PAGEREF _Toc166768096 \h </w:instrText>
            </w:r>
            <w:r w:rsidR="00C244C7">
              <w:rPr>
                <w:noProof/>
                <w:webHidden/>
              </w:rPr>
            </w:r>
            <w:r w:rsidR="00C244C7">
              <w:rPr>
                <w:noProof/>
                <w:webHidden/>
              </w:rPr>
              <w:fldChar w:fldCharType="separate"/>
            </w:r>
            <w:r w:rsidR="00C244C7">
              <w:rPr>
                <w:noProof/>
                <w:webHidden/>
              </w:rPr>
              <w:t>2</w:t>
            </w:r>
            <w:r w:rsidR="00C244C7">
              <w:rPr>
                <w:noProof/>
                <w:webHidden/>
              </w:rPr>
              <w:fldChar w:fldCharType="end"/>
            </w:r>
          </w:hyperlink>
        </w:p>
        <w:p w14:paraId="04692823" w14:textId="75C1E437" w:rsidR="00C244C7" w:rsidRDefault="007C3F63">
          <w:pPr>
            <w:pStyle w:val="TOC1"/>
            <w:rPr>
              <w:rFonts w:asciiTheme="minorHAnsi" w:eastAsiaTheme="minorEastAsia" w:hAnsiTheme="minorHAnsi"/>
              <w:noProof/>
              <w:color w:val="auto"/>
              <w:kern w:val="2"/>
              <w:sz w:val="22"/>
              <w:szCs w:val="22"/>
              <w:lang w:eastAsia="en-GB"/>
              <w14:ligatures w14:val="standardContextual"/>
            </w:rPr>
          </w:pPr>
          <w:hyperlink w:anchor="_Toc166768097" w:history="1">
            <w:r w:rsidR="00C244C7" w:rsidRPr="00776981">
              <w:rPr>
                <w:rStyle w:val="Hyperlink"/>
                <w:rFonts w:cs="Arial"/>
                <w:noProof/>
              </w:rPr>
              <w:t>NHS Equality Delivery System (EDS)</w:t>
            </w:r>
            <w:r w:rsidR="00C244C7">
              <w:rPr>
                <w:noProof/>
                <w:webHidden/>
              </w:rPr>
              <w:tab/>
            </w:r>
            <w:r w:rsidR="00C244C7">
              <w:rPr>
                <w:noProof/>
                <w:webHidden/>
              </w:rPr>
              <w:fldChar w:fldCharType="begin"/>
            </w:r>
            <w:r w:rsidR="00C244C7">
              <w:rPr>
                <w:noProof/>
                <w:webHidden/>
              </w:rPr>
              <w:instrText xml:space="preserve"> PAGEREF _Toc166768097 \h </w:instrText>
            </w:r>
            <w:r w:rsidR="00C244C7">
              <w:rPr>
                <w:noProof/>
                <w:webHidden/>
              </w:rPr>
            </w:r>
            <w:r w:rsidR="00C244C7">
              <w:rPr>
                <w:noProof/>
                <w:webHidden/>
              </w:rPr>
              <w:fldChar w:fldCharType="separate"/>
            </w:r>
            <w:r w:rsidR="00C244C7">
              <w:rPr>
                <w:noProof/>
                <w:webHidden/>
              </w:rPr>
              <w:t>3</w:t>
            </w:r>
            <w:r w:rsidR="00C244C7">
              <w:rPr>
                <w:noProof/>
                <w:webHidden/>
              </w:rPr>
              <w:fldChar w:fldCharType="end"/>
            </w:r>
          </w:hyperlink>
        </w:p>
        <w:p w14:paraId="51357971" w14:textId="0871D352" w:rsidR="00C244C7" w:rsidRDefault="007C3F63">
          <w:pPr>
            <w:pStyle w:val="TOC1"/>
            <w:rPr>
              <w:rFonts w:asciiTheme="minorHAnsi" w:eastAsiaTheme="minorEastAsia" w:hAnsiTheme="minorHAnsi"/>
              <w:noProof/>
              <w:color w:val="auto"/>
              <w:kern w:val="2"/>
              <w:sz w:val="22"/>
              <w:szCs w:val="22"/>
              <w:lang w:eastAsia="en-GB"/>
              <w14:ligatures w14:val="standardContextual"/>
            </w:rPr>
          </w:pPr>
          <w:hyperlink w:anchor="_Toc166768098" w:history="1">
            <w:r w:rsidR="00C244C7" w:rsidRPr="00776981">
              <w:rPr>
                <w:rStyle w:val="Hyperlink"/>
                <w:rFonts w:cs="Arial"/>
                <w:noProof/>
              </w:rPr>
              <w:t>Completed Actions from Previous Year (2022/23)</w:t>
            </w:r>
            <w:r w:rsidR="00C244C7">
              <w:rPr>
                <w:noProof/>
                <w:webHidden/>
              </w:rPr>
              <w:tab/>
            </w:r>
            <w:r w:rsidR="00C244C7">
              <w:rPr>
                <w:noProof/>
                <w:webHidden/>
              </w:rPr>
              <w:fldChar w:fldCharType="begin"/>
            </w:r>
            <w:r w:rsidR="00C244C7">
              <w:rPr>
                <w:noProof/>
                <w:webHidden/>
              </w:rPr>
              <w:instrText xml:space="preserve"> PAGEREF _Toc166768098 \h </w:instrText>
            </w:r>
            <w:r w:rsidR="00C244C7">
              <w:rPr>
                <w:noProof/>
                <w:webHidden/>
              </w:rPr>
            </w:r>
            <w:r w:rsidR="00C244C7">
              <w:rPr>
                <w:noProof/>
                <w:webHidden/>
              </w:rPr>
              <w:fldChar w:fldCharType="separate"/>
            </w:r>
            <w:r w:rsidR="00C244C7">
              <w:rPr>
                <w:noProof/>
                <w:webHidden/>
              </w:rPr>
              <w:t>4</w:t>
            </w:r>
            <w:r w:rsidR="00C244C7">
              <w:rPr>
                <w:noProof/>
                <w:webHidden/>
              </w:rPr>
              <w:fldChar w:fldCharType="end"/>
            </w:r>
          </w:hyperlink>
        </w:p>
        <w:p w14:paraId="0B80BCC5" w14:textId="6378DD39" w:rsidR="00C244C7" w:rsidRDefault="007C3F63">
          <w:pPr>
            <w:pStyle w:val="TOC1"/>
            <w:rPr>
              <w:rFonts w:asciiTheme="minorHAnsi" w:eastAsiaTheme="minorEastAsia" w:hAnsiTheme="minorHAnsi"/>
              <w:noProof/>
              <w:color w:val="auto"/>
              <w:kern w:val="2"/>
              <w:sz w:val="22"/>
              <w:szCs w:val="22"/>
              <w:lang w:eastAsia="en-GB"/>
              <w14:ligatures w14:val="standardContextual"/>
            </w:rPr>
          </w:pPr>
          <w:hyperlink w:anchor="_Toc166768099" w:history="1">
            <w:r w:rsidR="00C244C7" w:rsidRPr="00776981">
              <w:rPr>
                <w:rStyle w:val="Hyperlink"/>
                <w:rFonts w:cs="Arial"/>
                <w:noProof/>
              </w:rPr>
              <w:t>Completed actions from previous year</w:t>
            </w:r>
            <w:r w:rsidR="00C244C7">
              <w:rPr>
                <w:noProof/>
                <w:webHidden/>
              </w:rPr>
              <w:tab/>
            </w:r>
            <w:r w:rsidR="00C244C7">
              <w:rPr>
                <w:noProof/>
                <w:webHidden/>
              </w:rPr>
              <w:fldChar w:fldCharType="begin"/>
            </w:r>
            <w:r w:rsidR="00C244C7">
              <w:rPr>
                <w:noProof/>
                <w:webHidden/>
              </w:rPr>
              <w:instrText xml:space="preserve"> PAGEREF _Toc166768099 \h </w:instrText>
            </w:r>
            <w:r w:rsidR="00C244C7">
              <w:rPr>
                <w:noProof/>
                <w:webHidden/>
              </w:rPr>
            </w:r>
            <w:r w:rsidR="00C244C7">
              <w:rPr>
                <w:noProof/>
                <w:webHidden/>
              </w:rPr>
              <w:fldChar w:fldCharType="separate"/>
            </w:r>
            <w:r w:rsidR="00C244C7">
              <w:rPr>
                <w:noProof/>
                <w:webHidden/>
              </w:rPr>
              <w:t>4</w:t>
            </w:r>
            <w:r w:rsidR="00C244C7">
              <w:rPr>
                <w:noProof/>
                <w:webHidden/>
              </w:rPr>
              <w:fldChar w:fldCharType="end"/>
            </w:r>
          </w:hyperlink>
        </w:p>
        <w:p w14:paraId="64D68770" w14:textId="3F5F159B" w:rsidR="00C244C7" w:rsidRDefault="007C3F63">
          <w:pPr>
            <w:pStyle w:val="TOC1"/>
            <w:rPr>
              <w:rFonts w:asciiTheme="minorHAnsi" w:eastAsiaTheme="minorEastAsia" w:hAnsiTheme="minorHAnsi"/>
              <w:noProof/>
              <w:color w:val="auto"/>
              <w:kern w:val="2"/>
              <w:sz w:val="22"/>
              <w:szCs w:val="22"/>
              <w:lang w:eastAsia="en-GB"/>
              <w14:ligatures w14:val="standardContextual"/>
            </w:rPr>
          </w:pPr>
          <w:hyperlink w:anchor="_Toc166768100" w:history="1">
            <w:r w:rsidR="00C244C7" w:rsidRPr="00776981">
              <w:rPr>
                <w:rStyle w:val="Hyperlink"/>
                <w:rFonts w:cs="Arial"/>
                <w:noProof/>
              </w:rPr>
              <w:t>EDS Rating and Score Card</w:t>
            </w:r>
            <w:r w:rsidR="00C244C7">
              <w:rPr>
                <w:noProof/>
                <w:webHidden/>
              </w:rPr>
              <w:tab/>
            </w:r>
            <w:r w:rsidR="00C244C7">
              <w:rPr>
                <w:noProof/>
                <w:webHidden/>
              </w:rPr>
              <w:fldChar w:fldCharType="begin"/>
            </w:r>
            <w:r w:rsidR="00C244C7">
              <w:rPr>
                <w:noProof/>
                <w:webHidden/>
              </w:rPr>
              <w:instrText xml:space="preserve"> PAGEREF _Toc166768100 \h </w:instrText>
            </w:r>
            <w:r w:rsidR="00C244C7">
              <w:rPr>
                <w:noProof/>
                <w:webHidden/>
              </w:rPr>
            </w:r>
            <w:r w:rsidR="00C244C7">
              <w:rPr>
                <w:noProof/>
                <w:webHidden/>
              </w:rPr>
              <w:fldChar w:fldCharType="separate"/>
            </w:r>
            <w:r w:rsidR="00C244C7">
              <w:rPr>
                <w:noProof/>
                <w:webHidden/>
              </w:rPr>
              <w:t>5</w:t>
            </w:r>
            <w:r w:rsidR="00C244C7">
              <w:rPr>
                <w:noProof/>
                <w:webHidden/>
              </w:rPr>
              <w:fldChar w:fldCharType="end"/>
            </w:r>
          </w:hyperlink>
        </w:p>
        <w:p w14:paraId="1516C488" w14:textId="60BEF1A5" w:rsidR="00C244C7" w:rsidRDefault="007C3F63">
          <w:pPr>
            <w:pStyle w:val="TOC2"/>
            <w:rPr>
              <w:rFonts w:asciiTheme="minorHAnsi" w:eastAsiaTheme="minorEastAsia" w:hAnsiTheme="minorHAnsi"/>
              <w:noProof/>
              <w:color w:val="auto"/>
              <w:kern w:val="2"/>
              <w:sz w:val="22"/>
              <w:szCs w:val="22"/>
              <w:lang w:eastAsia="en-GB"/>
              <w14:ligatures w14:val="standardContextual"/>
            </w:rPr>
          </w:pPr>
          <w:hyperlink w:anchor="_Toc166768101" w:history="1">
            <w:r w:rsidR="00C244C7" w:rsidRPr="00776981">
              <w:rPr>
                <w:rStyle w:val="Hyperlink"/>
                <w:rFonts w:cs="Arial"/>
                <w:noProof/>
              </w:rPr>
              <w:t>Domain 1: Commissioned Services</w:t>
            </w:r>
            <w:r w:rsidR="00C244C7">
              <w:rPr>
                <w:noProof/>
                <w:webHidden/>
              </w:rPr>
              <w:tab/>
            </w:r>
            <w:r w:rsidR="00C244C7">
              <w:rPr>
                <w:noProof/>
                <w:webHidden/>
              </w:rPr>
              <w:fldChar w:fldCharType="begin"/>
            </w:r>
            <w:r w:rsidR="00C244C7">
              <w:rPr>
                <w:noProof/>
                <w:webHidden/>
              </w:rPr>
              <w:instrText xml:space="preserve"> PAGEREF _Toc166768101 \h </w:instrText>
            </w:r>
            <w:r w:rsidR="00C244C7">
              <w:rPr>
                <w:noProof/>
                <w:webHidden/>
              </w:rPr>
            </w:r>
            <w:r w:rsidR="00C244C7">
              <w:rPr>
                <w:noProof/>
                <w:webHidden/>
              </w:rPr>
              <w:fldChar w:fldCharType="separate"/>
            </w:r>
            <w:r w:rsidR="00C244C7">
              <w:rPr>
                <w:noProof/>
                <w:webHidden/>
              </w:rPr>
              <w:t>6</w:t>
            </w:r>
            <w:r w:rsidR="00C244C7">
              <w:rPr>
                <w:noProof/>
                <w:webHidden/>
              </w:rPr>
              <w:fldChar w:fldCharType="end"/>
            </w:r>
          </w:hyperlink>
        </w:p>
        <w:p w14:paraId="257E5E04" w14:textId="6EA09271" w:rsidR="00C244C7" w:rsidRDefault="007C3F63">
          <w:pPr>
            <w:pStyle w:val="TOC2"/>
            <w:rPr>
              <w:rFonts w:asciiTheme="minorHAnsi" w:eastAsiaTheme="minorEastAsia" w:hAnsiTheme="minorHAnsi"/>
              <w:noProof/>
              <w:color w:val="auto"/>
              <w:kern w:val="2"/>
              <w:sz w:val="22"/>
              <w:szCs w:val="22"/>
              <w:lang w:eastAsia="en-GB"/>
              <w14:ligatures w14:val="standardContextual"/>
            </w:rPr>
          </w:pPr>
          <w:hyperlink w:anchor="_Toc166768102" w:history="1">
            <w:r w:rsidR="00C244C7" w:rsidRPr="00776981">
              <w:rPr>
                <w:rStyle w:val="Hyperlink"/>
                <w:rFonts w:cs="Arial"/>
                <w:noProof/>
              </w:rPr>
              <w:t>Domain 2: Workforce Health and Wellbeing</w:t>
            </w:r>
            <w:r w:rsidR="00C244C7">
              <w:rPr>
                <w:noProof/>
                <w:webHidden/>
              </w:rPr>
              <w:tab/>
            </w:r>
            <w:r w:rsidR="00C244C7">
              <w:rPr>
                <w:noProof/>
                <w:webHidden/>
              </w:rPr>
              <w:fldChar w:fldCharType="begin"/>
            </w:r>
            <w:r w:rsidR="00C244C7">
              <w:rPr>
                <w:noProof/>
                <w:webHidden/>
              </w:rPr>
              <w:instrText xml:space="preserve"> PAGEREF _Toc166768102 \h </w:instrText>
            </w:r>
            <w:r w:rsidR="00C244C7">
              <w:rPr>
                <w:noProof/>
                <w:webHidden/>
              </w:rPr>
            </w:r>
            <w:r w:rsidR="00C244C7">
              <w:rPr>
                <w:noProof/>
                <w:webHidden/>
              </w:rPr>
              <w:fldChar w:fldCharType="separate"/>
            </w:r>
            <w:r w:rsidR="00C244C7">
              <w:rPr>
                <w:noProof/>
                <w:webHidden/>
              </w:rPr>
              <w:t>16</w:t>
            </w:r>
            <w:r w:rsidR="00C244C7">
              <w:rPr>
                <w:noProof/>
                <w:webHidden/>
              </w:rPr>
              <w:fldChar w:fldCharType="end"/>
            </w:r>
          </w:hyperlink>
        </w:p>
        <w:p w14:paraId="7BE9734D" w14:textId="7432733F" w:rsidR="00C244C7" w:rsidRDefault="007C3F63">
          <w:pPr>
            <w:pStyle w:val="TOC2"/>
            <w:rPr>
              <w:noProof/>
            </w:rPr>
          </w:pPr>
          <w:hyperlink w:anchor="_Toc166768103" w:history="1">
            <w:r w:rsidR="00C244C7" w:rsidRPr="00776981">
              <w:rPr>
                <w:rStyle w:val="Hyperlink"/>
                <w:rFonts w:cs="Arial"/>
                <w:noProof/>
              </w:rPr>
              <w:t>Domain 3: Inclusive Leadership (Q3 collection)</w:t>
            </w:r>
            <w:r w:rsidR="00C244C7">
              <w:rPr>
                <w:noProof/>
                <w:webHidden/>
              </w:rPr>
              <w:tab/>
            </w:r>
            <w:r w:rsidR="00C244C7">
              <w:rPr>
                <w:noProof/>
                <w:webHidden/>
              </w:rPr>
              <w:fldChar w:fldCharType="begin"/>
            </w:r>
            <w:r w:rsidR="00C244C7">
              <w:rPr>
                <w:noProof/>
                <w:webHidden/>
              </w:rPr>
              <w:instrText xml:space="preserve"> PAGEREF _Toc166768103 \h </w:instrText>
            </w:r>
            <w:r w:rsidR="00C244C7">
              <w:rPr>
                <w:noProof/>
                <w:webHidden/>
              </w:rPr>
            </w:r>
            <w:r w:rsidR="00C244C7">
              <w:rPr>
                <w:noProof/>
                <w:webHidden/>
              </w:rPr>
              <w:fldChar w:fldCharType="separate"/>
            </w:r>
            <w:r w:rsidR="00C244C7">
              <w:rPr>
                <w:noProof/>
                <w:webHidden/>
              </w:rPr>
              <w:t>27</w:t>
            </w:r>
            <w:r w:rsidR="00C244C7">
              <w:rPr>
                <w:noProof/>
                <w:webHidden/>
              </w:rPr>
              <w:fldChar w:fldCharType="end"/>
            </w:r>
          </w:hyperlink>
        </w:p>
        <w:p w14:paraId="4277CF5E" w14:textId="1B81DB84" w:rsidR="0095676B" w:rsidRPr="0095676B" w:rsidRDefault="0095676B" w:rsidP="0095676B">
          <w:r>
            <w:t>Appendices………………………………………………………………………………37</w:t>
          </w:r>
        </w:p>
        <w:p w14:paraId="042299F9" w14:textId="6F716603" w:rsidR="00C244C7" w:rsidRDefault="00C244C7" w:rsidP="0095676B">
          <w:pPr>
            <w:pStyle w:val="TOC2"/>
            <w:ind w:left="0" w:firstLine="0"/>
            <w:rPr>
              <w:noProof/>
            </w:rPr>
          </w:pPr>
          <w:r>
            <w:rPr>
              <w:b/>
              <w:bCs/>
              <w:noProof/>
            </w:rPr>
            <w:fldChar w:fldCharType="end"/>
          </w:r>
        </w:p>
      </w:sdtContent>
    </w:sdt>
    <w:p w14:paraId="20171E0A" w14:textId="6169B5B0" w:rsidR="00510CDF" w:rsidRPr="00500A4F" w:rsidRDefault="00510CDF" w:rsidP="00510CDF">
      <w:pPr>
        <w:rPr>
          <w:rFonts w:ascii="Tenorite" w:hAnsi="Tenorite" w:cs="Arial"/>
        </w:rPr>
      </w:pPr>
    </w:p>
    <w:p w14:paraId="7B56753A" w14:textId="77777777" w:rsidR="00510CDF" w:rsidRPr="00500A4F" w:rsidRDefault="00510CDF" w:rsidP="00991A82">
      <w:pPr>
        <w:rPr>
          <w:rFonts w:ascii="Tenorite" w:hAnsi="Tenorite" w:cs="Arial"/>
        </w:rPr>
      </w:pPr>
    </w:p>
    <w:p w14:paraId="10BBEB83" w14:textId="77777777" w:rsidR="00510CDF" w:rsidRPr="00500A4F" w:rsidRDefault="00510CDF" w:rsidP="00991A82">
      <w:pPr>
        <w:rPr>
          <w:rFonts w:ascii="Tenorite" w:hAnsi="Tenorite" w:cs="Arial"/>
        </w:rPr>
        <w:sectPr w:rsidR="00510CDF" w:rsidRPr="00500A4F" w:rsidSect="00B378E1">
          <w:headerReference w:type="even" r:id="rId12"/>
          <w:headerReference w:type="default" r:id="rId13"/>
          <w:footerReference w:type="default" r:id="rId14"/>
          <w:headerReference w:type="first" r:id="rId15"/>
          <w:pgSz w:w="11906" w:h="16838" w:code="9"/>
          <w:pgMar w:top="5273" w:right="1928" w:bottom="1134" w:left="1077" w:header="624" w:footer="510" w:gutter="0"/>
          <w:pgNumType w:start="1"/>
          <w:cols w:space="708"/>
          <w:docGrid w:linePitch="360"/>
        </w:sectPr>
      </w:pPr>
    </w:p>
    <w:p w14:paraId="33B68E4C" w14:textId="43F14101" w:rsidR="00BB480F" w:rsidRPr="004B77AE" w:rsidRDefault="00BB480F" w:rsidP="00C76139">
      <w:pPr>
        <w:pStyle w:val="Heading1"/>
      </w:pPr>
      <w:bookmarkStart w:id="1" w:name="_Toc94529745"/>
      <w:bookmarkStart w:id="2" w:name="_Toc166768095"/>
      <w:r w:rsidRPr="004B77AE">
        <w:lastRenderedPageBreak/>
        <w:t>Equality Delivery System for the NHS</w:t>
      </w:r>
      <w:bookmarkEnd w:id="1"/>
      <w:bookmarkEnd w:id="2"/>
    </w:p>
    <w:p w14:paraId="7D7DD1DF" w14:textId="43B7CA5C" w:rsidR="00BB480F" w:rsidRPr="004B77AE" w:rsidRDefault="009D1CC6" w:rsidP="004836B2">
      <w:pPr>
        <w:pStyle w:val="Heading2"/>
        <w:rPr>
          <w:rFonts w:cs="Arial"/>
        </w:rPr>
      </w:pPr>
      <w:bookmarkStart w:id="3" w:name="_Toc166768096"/>
      <w:r w:rsidRPr="004B77AE">
        <w:rPr>
          <w:rFonts w:cs="Arial"/>
        </w:rPr>
        <w:t xml:space="preserve">The </w:t>
      </w:r>
      <w:r w:rsidR="00BB480F" w:rsidRPr="004B77AE">
        <w:rPr>
          <w:rFonts w:cs="Arial"/>
        </w:rPr>
        <w:t>EDS Report</w:t>
      </w:r>
      <w:r w:rsidRPr="004B77AE">
        <w:rPr>
          <w:rFonts w:cs="Arial"/>
        </w:rPr>
        <w:t>ing Template</w:t>
      </w:r>
      <w:bookmarkEnd w:id="3"/>
    </w:p>
    <w:p w14:paraId="5EE9572A" w14:textId="77777777" w:rsidR="00BB480F" w:rsidRPr="004B77AE" w:rsidRDefault="00BB480F" w:rsidP="00BB480F">
      <w:pPr>
        <w:rPr>
          <w:rFonts w:cs="Arial"/>
        </w:rPr>
      </w:pPr>
    </w:p>
    <w:p w14:paraId="38C1C98A" w14:textId="40B29499" w:rsidR="00BB480F" w:rsidRPr="004B77AE" w:rsidRDefault="00BB480F" w:rsidP="009D1CC6">
      <w:pPr>
        <w:pStyle w:val="BodyText"/>
        <w:rPr>
          <w:rFonts w:cs="Arial"/>
        </w:rPr>
      </w:pPr>
      <w:r w:rsidRPr="004B77AE">
        <w:rPr>
          <w:rFonts w:cs="Arial"/>
        </w:rPr>
        <w:t>Implementation of the Equality Delivery System (EDS) is a requirement on both NHS commissioners and NHS providers. Organisations are encouraged to follow the implementation of EDS in accordance EDS guidance documents. The documents can be found at</w:t>
      </w:r>
      <w:r w:rsidR="00394044" w:rsidRPr="004B77AE">
        <w:rPr>
          <w:rFonts w:cs="Arial"/>
        </w:rPr>
        <w:t xml:space="preserve">: </w:t>
      </w:r>
      <w:hyperlink r:id="rId16" w:history="1">
        <w:r w:rsidR="00A6791B" w:rsidRPr="004B77AE">
          <w:rPr>
            <w:rStyle w:val="Hyperlink"/>
            <w:rFonts w:cs="Arial"/>
          </w:rPr>
          <w:t>www.england.nhs.uk/about/equality/equality-hub/patient-equalities-programme/equality-frameworks-and-information-standards/eds/</w:t>
        </w:r>
      </w:hyperlink>
      <w:r w:rsidR="00394044" w:rsidRPr="004B77AE">
        <w:rPr>
          <w:rFonts w:cs="Arial"/>
        </w:rPr>
        <w:t xml:space="preserve"> </w:t>
      </w:r>
      <w:r w:rsidR="00394044" w:rsidRPr="004B77AE">
        <w:rPr>
          <w:rFonts w:cs="Arial"/>
          <w:i/>
          <w:color w:val="FF0000"/>
        </w:rPr>
        <w:t xml:space="preserve"> </w:t>
      </w:r>
    </w:p>
    <w:p w14:paraId="0715F3BB" w14:textId="6F83AAAC" w:rsidR="00BB480F" w:rsidRPr="004B77AE" w:rsidRDefault="00BB480F" w:rsidP="009D1CC6">
      <w:pPr>
        <w:pStyle w:val="BodyText"/>
        <w:rPr>
          <w:rFonts w:cs="Arial"/>
        </w:rPr>
      </w:pPr>
      <w:r w:rsidRPr="004B77AE">
        <w:rPr>
          <w:rFonts w:cs="Arial"/>
        </w:rPr>
        <w:t xml:space="preserve">The EDS is an </w:t>
      </w:r>
      <w:r w:rsidRPr="004B77AE">
        <w:rPr>
          <w:rFonts w:cs="Arial"/>
          <w:bCs/>
        </w:rPr>
        <w:t xml:space="preserve">improvement tool for patients, </w:t>
      </w:r>
      <w:proofErr w:type="gramStart"/>
      <w:r w:rsidRPr="004B77AE">
        <w:rPr>
          <w:rFonts w:cs="Arial"/>
          <w:bCs/>
        </w:rPr>
        <w:t>staff</w:t>
      </w:r>
      <w:proofErr w:type="gramEnd"/>
      <w:r w:rsidRPr="004B77AE">
        <w:rPr>
          <w:rFonts w:cs="Arial"/>
          <w:bCs/>
        </w:rPr>
        <w:t xml:space="preserve"> and leaders</w:t>
      </w:r>
      <w:r w:rsidRPr="004B77AE">
        <w:rPr>
          <w:rFonts w:cs="Arial"/>
          <w:b/>
        </w:rPr>
        <w:t xml:space="preserve"> </w:t>
      </w:r>
      <w:r w:rsidRPr="004B77AE">
        <w:rPr>
          <w:rFonts w:cs="Arial"/>
          <w:bCs/>
        </w:rPr>
        <w:t>of the NHS.</w:t>
      </w:r>
      <w:r w:rsidRPr="004B77AE">
        <w:rPr>
          <w:rFonts w:cs="Arial"/>
          <w:b/>
        </w:rPr>
        <w:t xml:space="preserve"> </w:t>
      </w:r>
      <w:r w:rsidRPr="004B77AE">
        <w:rPr>
          <w:rFonts w:cs="Arial"/>
        </w:rPr>
        <w:t>It supports NHS organisations in England - in active conversations with patients, public, staff, staff networks, community groups and trade unions - to review and develop their approach in addressing health inequalities through three domains</w:t>
      </w:r>
      <w:r w:rsidR="00944199" w:rsidRPr="004B77AE">
        <w:rPr>
          <w:rFonts w:cs="Arial"/>
        </w:rPr>
        <w:t>:</w:t>
      </w:r>
      <w:r w:rsidRPr="004B77AE">
        <w:rPr>
          <w:rFonts w:cs="Arial"/>
        </w:rPr>
        <w:t xml:space="preserve"> </w:t>
      </w:r>
      <w:r w:rsidR="009D1CC6" w:rsidRPr="004B77AE">
        <w:rPr>
          <w:rFonts w:cs="Arial"/>
        </w:rPr>
        <w:t>S</w:t>
      </w:r>
      <w:r w:rsidRPr="004B77AE">
        <w:rPr>
          <w:rFonts w:cs="Arial"/>
        </w:rPr>
        <w:t xml:space="preserve">ervices, </w:t>
      </w:r>
      <w:r w:rsidR="009D1CC6" w:rsidRPr="004B77AE">
        <w:rPr>
          <w:rFonts w:cs="Arial"/>
        </w:rPr>
        <w:t>W</w:t>
      </w:r>
      <w:r w:rsidRPr="004B77AE">
        <w:rPr>
          <w:rFonts w:cs="Arial"/>
        </w:rPr>
        <w:t xml:space="preserve">orkforce and </w:t>
      </w:r>
      <w:r w:rsidR="009D1CC6" w:rsidRPr="004B77AE">
        <w:rPr>
          <w:rFonts w:cs="Arial"/>
        </w:rPr>
        <w:t>L</w:t>
      </w:r>
      <w:r w:rsidRPr="004B77AE">
        <w:rPr>
          <w:rFonts w:cs="Arial"/>
        </w:rPr>
        <w:t xml:space="preserve">eadership. It is driven by data, evidence, </w:t>
      </w:r>
      <w:r w:rsidR="00503A46" w:rsidRPr="004B77AE">
        <w:rPr>
          <w:rFonts w:cs="Arial"/>
        </w:rPr>
        <w:t>engagement,</w:t>
      </w:r>
      <w:r w:rsidRPr="004B77AE">
        <w:rPr>
          <w:rFonts w:cs="Arial"/>
        </w:rPr>
        <w:t xml:space="preserve"> and insight.</w:t>
      </w:r>
    </w:p>
    <w:p w14:paraId="1599127A" w14:textId="22254C83" w:rsidR="00BB480F" w:rsidRPr="004B77AE" w:rsidRDefault="00BB480F" w:rsidP="009D1CC6">
      <w:pPr>
        <w:pStyle w:val="BodyText"/>
        <w:rPr>
          <w:rFonts w:cs="Arial"/>
        </w:rPr>
      </w:pPr>
      <w:r w:rsidRPr="004B77AE">
        <w:rPr>
          <w:rFonts w:cs="Arial"/>
        </w:rPr>
        <w:t>The EDS Report</w:t>
      </w:r>
      <w:r w:rsidRPr="004B77AE">
        <w:rPr>
          <w:rFonts w:cs="Arial"/>
          <w:i/>
        </w:rPr>
        <w:t xml:space="preserve"> </w:t>
      </w:r>
      <w:r w:rsidRPr="004B77AE">
        <w:rPr>
          <w:rFonts w:cs="Arial"/>
        </w:rPr>
        <w:t xml:space="preserve">is a template which is designed to give an overview of the organisation’s most recent EDS implementation and grade. Once completed, the report should be submitted via </w:t>
      </w:r>
      <w:hyperlink r:id="rId17" w:history="1">
        <w:r w:rsidR="003E1DF4" w:rsidRPr="004B77AE">
          <w:rPr>
            <w:rStyle w:val="Hyperlink"/>
            <w:rFonts w:cs="Arial"/>
          </w:rPr>
          <w:t>england.eandhi@nhs.net</w:t>
        </w:r>
      </w:hyperlink>
      <w:r w:rsidR="003E1DF4" w:rsidRPr="004B77AE">
        <w:rPr>
          <w:rFonts w:cs="Arial"/>
          <w:color w:val="FF0000"/>
        </w:rPr>
        <w:t xml:space="preserve"> </w:t>
      </w:r>
      <w:r w:rsidRPr="004B77AE">
        <w:rPr>
          <w:rFonts w:cs="Arial"/>
        </w:rPr>
        <w:t xml:space="preserve">and published on the organisation’s website. </w:t>
      </w:r>
    </w:p>
    <w:p w14:paraId="2C668067" w14:textId="77777777" w:rsidR="00BB480F" w:rsidRPr="004B77AE" w:rsidRDefault="00BB480F" w:rsidP="00BB480F">
      <w:pPr>
        <w:rPr>
          <w:rFonts w:cs="Arial"/>
        </w:rPr>
      </w:pPr>
      <w:r w:rsidRPr="004B77AE">
        <w:rPr>
          <w:rFonts w:cs="Arial"/>
        </w:rPr>
        <w:br w:type="page"/>
      </w:r>
    </w:p>
    <w:tbl>
      <w:tblPr>
        <w:tblStyle w:val="TableGrid"/>
        <w:tblpPr w:leftFromText="180" w:rightFromText="180" w:vertAnchor="page" w:horzAnchor="margin" w:tblpY="2009"/>
        <w:tblW w:w="15588" w:type="dxa"/>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2571"/>
        <w:gridCol w:w="5137"/>
        <w:gridCol w:w="2786"/>
        <w:gridCol w:w="5094"/>
      </w:tblGrid>
      <w:tr w:rsidR="007904B2" w:rsidRPr="00092477" w14:paraId="0222EB8D" w14:textId="77777777" w:rsidTr="00354E26">
        <w:trPr>
          <w:trHeight w:val="864"/>
        </w:trPr>
        <w:tc>
          <w:tcPr>
            <w:tcW w:w="2571" w:type="dxa"/>
            <w:tcBorders>
              <w:bottom w:val="single" w:sz="4" w:space="0" w:color="768692" w:themeColor="accent2"/>
            </w:tcBorders>
            <w:shd w:val="clear" w:color="auto" w:fill="BDDEFF" w:themeFill="text2" w:themeFillTint="33"/>
            <w:vAlign w:val="center"/>
          </w:tcPr>
          <w:p w14:paraId="7358BE17" w14:textId="77777777" w:rsidR="007904B2" w:rsidRPr="00092477" w:rsidRDefault="007904B2" w:rsidP="00C8744C">
            <w:pPr>
              <w:rPr>
                <w:rFonts w:cs="Arial"/>
                <w:b/>
                <w:color w:val="auto"/>
              </w:rPr>
            </w:pPr>
            <w:r w:rsidRPr="00092477">
              <w:rPr>
                <w:rFonts w:cs="Arial"/>
                <w:b/>
                <w:color w:val="auto"/>
              </w:rPr>
              <w:lastRenderedPageBreak/>
              <w:t xml:space="preserve">Name of Organisation </w:t>
            </w:r>
          </w:p>
        </w:tc>
        <w:tc>
          <w:tcPr>
            <w:tcW w:w="5137" w:type="dxa"/>
            <w:tcBorders>
              <w:bottom w:val="single" w:sz="4" w:space="0" w:color="768692" w:themeColor="accent2"/>
            </w:tcBorders>
            <w:vAlign w:val="center"/>
          </w:tcPr>
          <w:p w14:paraId="2E816DEB" w14:textId="0C5C8D42" w:rsidR="007904B2" w:rsidRPr="00092477" w:rsidRDefault="007904B2" w:rsidP="00C8744C">
            <w:pPr>
              <w:pStyle w:val="TableTitle"/>
              <w:rPr>
                <w:rFonts w:cs="Arial"/>
              </w:rPr>
            </w:pPr>
            <w:r w:rsidRPr="00092477">
              <w:rPr>
                <w:rFonts w:cs="Arial"/>
              </w:rPr>
              <w:t>NHS Nottingham and Nottinghamshire Integrated Care Board (ICB)</w:t>
            </w:r>
          </w:p>
        </w:tc>
        <w:tc>
          <w:tcPr>
            <w:tcW w:w="2786" w:type="dxa"/>
            <w:tcBorders>
              <w:bottom w:val="single" w:sz="4" w:space="0" w:color="768692" w:themeColor="accent2"/>
            </w:tcBorders>
            <w:shd w:val="clear" w:color="auto" w:fill="BDDEFF" w:themeFill="text2" w:themeFillTint="33"/>
            <w:vAlign w:val="center"/>
          </w:tcPr>
          <w:p w14:paraId="49716803" w14:textId="77777777" w:rsidR="007904B2" w:rsidRPr="00092477" w:rsidRDefault="007904B2" w:rsidP="00846A62">
            <w:pPr>
              <w:rPr>
                <w:rFonts w:cs="Arial"/>
                <w:b/>
                <w:color w:val="auto"/>
              </w:rPr>
            </w:pPr>
            <w:r w:rsidRPr="00092477">
              <w:rPr>
                <w:rFonts w:cs="Arial"/>
                <w:b/>
                <w:color w:val="auto"/>
              </w:rPr>
              <w:t>Organisation Board Sponsor/Lead</w:t>
            </w:r>
          </w:p>
        </w:tc>
        <w:tc>
          <w:tcPr>
            <w:tcW w:w="5094" w:type="dxa"/>
            <w:shd w:val="clear" w:color="auto" w:fill="auto"/>
            <w:vAlign w:val="center"/>
          </w:tcPr>
          <w:p w14:paraId="1D7B3F6B" w14:textId="77777777" w:rsidR="007904B2" w:rsidRPr="00092477" w:rsidRDefault="007904B2" w:rsidP="006721A6">
            <w:pPr>
              <w:pStyle w:val="TableText"/>
              <w:rPr>
                <w:rFonts w:cs="Arial"/>
              </w:rPr>
            </w:pPr>
            <w:r w:rsidRPr="00092477">
              <w:rPr>
                <w:rFonts w:cs="Arial"/>
              </w:rPr>
              <w:t>Philippa Hunt</w:t>
            </w:r>
          </w:p>
          <w:p w14:paraId="420E08DC" w14:textId="77777777" w:rsidR="007904B2" w:rsidRPr="00092477" w:rsidRDefault="007904B2">
            <w:pPr>
              <w:pStyle w:val="TableText"/>
              <w:rPr>
                <w:rFonts w:cs="Arial"/>
              </w:rPr>
            </w:pPr>
            <w:r w:rsidRPr="00092477">
              <w:rPr>
                <w:rFonts w:cs="Arial"/>
              </w:rPr>
              <w:t>Chief People Officer</w:t>
            </w:r>
          </w:p>
          <w:p w14:paraId="084D3860" w14:textId="77777777" w:rsidR="007904B2" w:rsidRPr="00092477" w:rsidRDefault="007904B2">
            <w:pPr>
              <w:pStyle w:val="TableText"/>
              <w:rPr>
                <w:rFonts w:cs="Arial"/>
                <w:b/>
                <w:color w:val="auto"/>
              </w:rPr>
            </w:pPr>
          </w:p>
          <w:p w14:paraId="6E77E92F" w14:textId="77777777" w:rsidR="007904B2" w:rsidRPr="00092477" w:rsidRDefault="007904B2">
            <w:pPr>
              <w:pStyle w:val="TableText"/>
              <w:rPr>
                <w:rFonts w:cs="Arial"/>
                <w:bCs/>
                <w:color w:val="auto"/>
              </w:rPr>
            </w:pPr>
            <w:r w:rsidRPr="00092477">
              <w:rPr>
                <w:rFonts w:cs="Arial"/>
                <w:bCs/>
                <w:color w:val="auto"/>
              </w:rPr>
              <w:t>Rosa Waddingham</w:t>
            </w:r>
          </w:p>
          <w:p w14:paraId="3662AA10" w14:textId="58BAADDA" w:rsidR="007904B2" w:rsidRPr="00092477" w:rsidRDefault="007904B2">
            <w:pPr>
              <w:pStyle w:val="TableText"/>
              <w:rPr>
                <w:rFonts w:cs="Arial"/>
                <w:bCs/>
                <w:color w:val="auto"/>
              </w:rPr>
            </w:pPr>
            <w:r w:rsidRPr="00092477">
              <w:rPr>
                <w:rFonts w:cs="Arial"/>
                <w:bCs/>
                <w:color w:val="auto"/>
              </w:rPr>
              <w:t>Chief Nurse</w:t>
            </w:r>
          </w:p>
        </w:tc>
      </w:tr>
      <w:tr w:rsidR="007904B2" w:rsidRPr="00092477" w14:paraId="48381A64" w14:textId="77777777" w:rsidTr="0004281F">
        <w:tc>
          <w:tcPr>
            <w:tcW w:w="2571" w:type="dxa"/>
            <w:shd w:val="clear" w:color="auto" w:fill="BDDEFF" w:themeFill="text2" w:themeFillTint="33"/>
            <w:vAlign w:val="center"/>
          </w:tcPr>
          <w:p w14:paraId="20E6CD00" w14:textId="2FAD2039" w:rsidR="007904B2" w:rsidRPr="00092477" w:rsidRDefault="007904B2" w:rsidP="00A02393">
            <w:pPr>
              <w:rPr>
                <w:rFonts w:cs="Arial"/>
              </w:rPr>
            </w:pPr>
            <w:r w:rsidRPr="00092477">
              <w:rPr>
                <w:rFonts w:cs="Arial"/>
                <w:b/>
                <w:color w:val="auto"/>
              </w:rPr>
              <w:t>Name of Integrated Care System</w:t>
            </w:r>
          </w:p>
        </w:tc>
        <w:tc>
          <w:tcPr>
            <w:tcW w:w="5137" w:type="dxa"/>
            <w:shd w:val="clear" w:color="auto" w:fill="auto"/>
            <w:vAlign w:val="center"/>
          </w:tcPr>
          <w:p w14:paraId="5AA3DB12" w14:textId="1FBA05D2" w:rsidR="007904B2" w:rsidRPr="00092477" w:rsidRDefault="007904B2" w:rsidP="00A02393">
            <w:pPr>
              <w:rPr>
                <w:rFonts w:cs="Arial"/>
              </w:rPr>
            </w:pPr>
            <w:r w:rsidRPr="00092477">
              <w:rPr>
                <w:rFonts w:cs="Arial"/>
              </w:rPr>
              <w:t>Nottingham and Nottinghamshire</w:t>
            </w:r>
          </w:p>
        </w:tc>
        <w:tc>
          <w:tcPr>
            <w:tcW w:w="2786" w:type="dxa"/>
            <w:shd w:val="clear" w:color="auto" w:fill="BDDEFF" w:themeFill="text2" w:themeFillTint="33"/>
          </w:tcPr>
          <w:p w14:paraId="7A99243C" w14:textId="77777777" w:rsidR="007904B2" w:rsidRPr="00092477" w:rsidRDefault="007904B2" w:rsidP="00A02393">
            <w:pPr>
              <w:rPr>
                <w:rFonts w:cs="Arial"/>
              </w:rPr>
            </w:pPr>
          </w:p>
        </w:tc>
        <w:tc>
          <w:tcPr>
            <w:tcW w:w="5094" w:type="dxa"/>
            <w:shd w:val="clear" w:color="auto" w:fill="auto"/>
          </w:tcPr>
          <w:p w14:paraId="5B18245E" w14:textId="5FB33F88" w:rsidR="007904B2" w:rsidRPr="00092477" w:rsidRDefault="007904B2" w:rsidP="00A02393">
            <w:pPr>
              <w:rPr>
                <w:rFonts w:cs="Arial"/>
              </w:rPr>
            </w:pPr>
          </w:p>
        </w:tc>
      </w:tr>
    </w:tbl>
    <w:p w14:paraId="74F4540E" w14:textId="3C431387" w:rsidR="00BB480F" w:rsidRPr="004B77AE" w:rsidRDefault="00BB480F" w:rsidP="00C244C7">
      <w:pPr>
        <w:pStyle w:val="Heading2"/>
      </w:pPr>
      <w:bookmarkStart w:id="4" w:name="_Toc166768097"/>
      <w:r w:rsidRPr="004B77AE">
        <w:t>NHS Equality Delivery System (EDS)</w:t>
      </w:r>
      <w:bookmarkEnd w:id="4"/>
    </w:p>
    <w:p w14:paraId="5C4993D9" w14:textId="77777777" w:rsidR="00BB480F" w:rsidRPr="004B77AE" w:rsidRDefault="00BB480F" w:rsidP="00BB480F">
      <w:pPr>
        <w:rPr>
          <w:rFonts w:cs="Arial"/>
        </w:rPr>
      </w:pPr>
    </w:p>
    <w:tbl>
      <w:tblPr>
        <w:tblStyle w:val="TableGrid"/>
        <w:tblW w:w="15599" w:type="dxa"/>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2547"/>
        <w:gridCol w:w="22"/>
        <w:gridCol w:w="5139"/>
        <w:gridCol w:w="15"/>
        <w:gridCol w:w="2762"/>
        <w:gridCol w:w="11"/>
        <w:gridCol w:w="5092"/>
        <w:gridCol w:w="11"/>
      </w:tblGrid>
      <w:tr w:rsidR="00C8744C" w:rsidRPr="004B77AE" w14:paraId="1518CDD3" w14:textId="77777777" w:rsidTr="00C244C7">
        <w:tc>
          <w:tcPr>
            <w:tcW w:w="2569" w:type="dxa"/>
            <w:gridSpan w:val="2"/>
            <w:shd w:val="clear" w:color="auto" w:fill="BDDEFF" w:themeFill="text2" w:themeFillTint="33"/>
            <w:vAlign w:val="center"/>
          </w:tcPr>
          <w:p w14:paraId="0DB9C1EE" w14:textId="77777777" w:rsidR="00C8744C" w:rsidRPr="004B77AE" w:rsidRDefault="00C8744C" w:rsidP="00C8744C">
            <w:pPr>
              <w:rPr>
                <w:rFonts w:cs="Arial"/>
                <w:b/>
              </w:rPr>
            </w:pPr>
            <w:r w:rsidRPr="004B77AE">
              <w:rPr>
                <w:rFonts w:cs="Arial"/>
                <w:b/>
                <w:color w:val="auto"/>
              </w:rPr>
              <w:t xml:space="preserve">EDS </w:t>
            </w:r>
            <w:proofErr w:type="gramStart"/>
            <w:r w:rsidRPr="004B77AE">
              <w:rPr>
                <w:rFonts w:cs="Arial"/>
                <w:b/>
                <w:color w:val="auto"/>
              </w:rPr>
              <w:t>Lead</w:t>
            </w:r>
            <w:proofErr w:type="gramEnd"/>
            <w:r w:rsidRPr="004B77AE">
              <w:rPr>
                <w:rFonts w:cs="Arial"/>
                <w:b/>
                <w:color w:val="auto"/>
              </w:rPr>
              <w:t xml:space="preserve"> </w:t>
            </w:r>
          </w:p>
        </w:tc>
        <w:tc>
          <w:tcPr>
            <w:tcW w:w="5139" w:type="dxa"/>
            <w:vAlign w:val="center"/>
          </w:tcPr>
          <w:p w14:paraId="248BB4FC" w14:textId="77777777" w:rsidR="00C8744C" w:rsidRPr="004B77AE" w:rsidRDefault="00C8744C" w:rsidP="00C8744C">
            <w:pPr>
              <w:pStyle w:val="TableText"/>
              <w:rPr>
                <w:rFonts w:cs="Arial"/>
              </w:rPr>
            </w:pPr>
            <w:r w:rsidRPr="004B77AE">
              <w:rPr>
                <w:rFonts w:cs="Arial"/>
              </w:rPr>
              <w:t>Robbie Naylor</w:t>
            </w:r>
          </w:p>
          <w:p w14:paraId="2A516FA0" w14:textId="7DABC5EB" w:rsidR="00155B1F" w:rsidRPr="004B77AE" w:rsidRDefault="00155B1F" w:rsidP="00C8744C">
            <w:pPr>
              <w:pStyle w:val="TableText"/>
              <w:rPr>
                <w:rFonts w:cs="Arial"/>
              </w:rPr>
            </w:pPr>
            <w:r w:rsidRPr="004B77AE">
              <w:rPr>
                <w:rFonts w:cs="Arial"/>
              </w:rPr>
              <w:t>Head of Equality, Diversity, and Inclusion</w:t>
            </w:r>
          </w:p>
        </w:tc>
        <w:tc>
          <w:tcPr>
            <w:tcW w:w="2788" w:type="dxa"/>
            <w:gridSpan w:val="3"/>
            <w:shd w:val="clear" w:color="auto" w:fill="BDDEFF" w:themeFill="text2" w:themeFillTint="33"/>
            <w:vAlign w:val="center"/>
          </w:tcPr>
          <w:p w14:paraId="6C853385" w14:textId="77777777" w:rsidR="00C8744C" w:rsidRPr="004B77AE" w:rsidRDefault="00C8744C" w:rsidP="00C8744C">
            <w:pPr>
              <w:rPr>
                <w:rFonts w:cs="Arial"/>
                <w:b/>
                <w:color w:val="auto"/>
              </w:rPr>
            </w:pPr>
            <w:r w:rsidRPr="004B77AE">
              <w:rPr>
                <w:rFonts w:cs="Arial"/>
                <w:b/>
                <w:color w:val="auto"/>
              </w:rPr>
              <w:t>At what level has this been completed?</w:t>
            </w:r>
          </w:p>
        </w:tc>
        <w:tc>
          <w:tcPr>
            <w:tcW w:w="5103" w:type="dxa"/>
            <w:gridSpan w:val="2"/>
            <w:shd w:val="clear" w:color="auto" w:fill="auto"/>
            <w:vAlign w:val="center"/>
          </w:tcPr>
          <w:p w14:paraId="11340E64" w14:textId="0F0922B5" w:rsidR="00C8744C" w:rsidRPr="004B77AE" w:rsidRDefault="00C8744C" w:rsidP="00C8744C">
            <w:pPr>
              <w:rPr>
                <w:rFonts w:cs="Arial"/>
                <w:b/>
                <w:color w:val="auto"/>
              </w:rPr>
            </w:pPr>
          </w:p>
        </w:tc>
      </w:tr>
      <w:tr w:rsidR="0004281F" w:rsidRPr="004B77AE" w14:paraId="39A809E4" w14:textId="77777777" w:rsidTr="00C244C7">
        <w:tc>
          <w:tcPr>
            <w:tcW w:w="2569" w:type="dxa"/>
            <w:gridSpan w:val="2"/>
            <w:shd w:val="clear" w:color="auto" w:fill="BDDEFF" w:themeFill="text2" w:themeFillTint="33"/>
            <w:vAlign w:val="center"/>
          </w:tcPr>
          <w:p w14:paraId="1BA01C58" w14:textId="77777777" w:rsidR="0004281F" w:rsidRPr="004B77AE" w:rsidRDefault="0004281F" w:rsidP="00C8744C">
            <w:pPr>
              <w:jc w:val="center"/>
              <w:rPr>
                <w:rFonts w:cs="Arial"/>
              </w:rPr>
            </w:pPr>
          </w:p>
        </w:tc>
        <w:tc>
          <w:tcPr>
            <w:tcW w:w="5139" w:type="dxa"/>
            <w:shd w:val="clear" w:color="auto" w:fill="BDDEFF" w:themeFill="text2" w:themeFillTint="33"/>
            <w:vAlign w:val="center"/>
          </w:tcPr>
          <w:p w14:paraId="686C1CA1" w14:textId="77777777" w:rsidR="0004281F" w:rsidRPr="004B77AE" w:rsidRDefault="0004281F" w:rsidP="00C8744C">
            <w:pPr>
              <w:jc w:val="center"/>
              <w:rPr>
                <w:rFonts w:cs="Arial"/>
              </w:rPr>
            </w:pPr>
          </w:p>
        </w:tc>
        <w:tc>
          <w:tcPr>
            <w:tcW w:w="2788" w:type="dxa"/>
            <w:gridSpan w:val="3"/>
            <w:shd w:val="clear" w:color="auto" w:fill="BDDEFF" w:themeFill="text2" w:themeFillTint="33"/>
            <w:vAlign w:val="center"/>
          </w:tcPr>
          <w:p w14:paraId="071DB25D" w14:textId="45885E8D" w:rsidR="0004281F" w:rsidRPr="004B77AE" w:rsidRDefault="0004281F" w:rsidP="00C8744C">
            <w:pPr>
              <w:jc w:val="center"/>
              <w:rPr>
                <w:rFonts w:cs="Arial"/>
              </w:rPr>
            </w:pPr>
          </w:p>
        </w:tc>
        <w:tc>
          <w:tcPr>
            <w:tcW w:w="5103" w:type="dxa"/>
            <w:gridSpan w:val="2"/>
            <w:shd w:val="clear" w:color="auto" w:fill="BDDEFF" w:themeFill="text2" w:themeFillTint="33"/>
            <w:vAlign w:val="center"/>
          </w:tcPr>
          <w:p w14:paraId="195053B5" w14:textId="77777777" w:rsidR="0004281F" w:rsidRPr="004B77AE" w:rsidRDefault="0004281F" w:rsidP="00C8744C">
            <w:pPr>
              <w:jc w:val="center"/>
              <w:rPr>
                <w:rFonts w:cs="Arial"/>
                <w:b/>
                <w:color w:val="FFFFFF" w:themeColor="background1"/>
              </w:rPr>
            </w:pPr>
            <w:r w:rsidRPr="004B77AE">
              <w:rPr>
                <w:rFonts w:cs="Arial"/>
                <w:b/>
                <w:color w:val="auto"/>
              </w:rPr>
              <w:t>*List organisations</w:t>
            </w:r>
          </w:p>
        </w:tc>
      </w:tr>
      <w:tr w:rsidR="00BB480F" w:rsidRPr="004B77AE" w14:paraId="20C844BA" w14:textId="77777777" w:rsidTr="00C244C7">
        <w:trPr>
          <w:trHeight w:val="510"/>
        </w:trPr>
        <w:tc>
          <w:tcPr>
            <w:tcW w:w="2569" w:type="dxa"/>
            <w:gridSpan w:val="2"/>
            <w:tcBorders>
              <w:bottom w:val="single" w:sz="4" w:space="0" w:color="768692" w:themeColor="accent2"/>
            </w:tcBorders>
            <w:shd w:val="clear" w:color="auto" w:fill="BDDEFF" w:themeFill="text2" w:themeFillTint="33"/>
            <w:vAlign w:val="center"/>
          </w:tcPr>
          <w:p w14:paraId="7E904013" w14:textId="77777777" w:rsidR="00BB480F" w:rsidRPr="004B77AE" w:rsidRDefault="00BB480F" w:rsidP="00C8744C">
            <w:pPr>
              <w:rPr>
                <w:rFonts w:cs="Arial"/>
                <w:b/>
                <w:color w:val="FFFFFF" w:themeColor="background1"/>
              </w:rPr>
            </w:pPr>
            <w:r w:rsidRPr="004B77AE">
              <w:rPr>
                <w:rFonts w:cs="Arial"/>
                <w:b/>
                <w:color w:val="auto"/>
              </w:rPr>
              <w:t>EDS engagement date(s)</w:t>
            </w:r>
          </w:p>
        </w:tc>
        <w:tc>
          <w:tcPr>
            <w:tcW w:w="5139" w:type="dxa"/>
            <w:tcBorders>
              <w:bottom w:val="single" w:sz="4" w:space="0" w:color="768692" w:themeColor="accent2"/>
            </w:tcBorders>
            <w:vAlign w:val="center"/>
          </w:tcPr>
          <w:p w14:paraId="32BB92C7" w14:textId="26BC3F23" w:rsidR="00AC067D" w:rsidRDefault="00AC067D" w:rsidP="00C8744C">
            <w:pPr>
              <w:pStyle w:val="TableText"/>
              <w:rPr>
                <w:rFonts w:cs="Arial"/>
              </w:rPr>
            </w:pPr>
            <w:r>
              <w:rPr>
                <w:rFonts w:cs="Arial"/>
              </w:rPr>
              <w:t>EQIA process and roundtables (December 2023 and January 2024)</w:t>
            </w:r>
          </w:p>
          <w:p w14:paraId="0761F9D0" w14:textId="77777777" w:rsidR="00AC067D" w:rsidRDefault="00AC067D" w:rsidP="00C8744C">
            <w:pPr>
              <w:pStyle w:val="TableText"/>
              <w:rPr>
                <w:rFonts w:cs="Arial"/>
              </w:rPr>
            </w:pPr>
          </w:p>
          <w:p w14:paraId="708422C2" w14:textId="77777777" w:rsidR="00BB480F" w:rsidRDefault="00A71DE3" w:rsidP="00C8744C">
            <w:pPr>
              <w:pStyle w:val="TableText"/>
              <w:rPr>
                <w:rFonts w:cs="Arial"/>
              </w:rPr>
            </w:pPr>
            <w:r w:rsidRPr="004B77AE">
              <w:rPr>
                <w:rFonts w:cs="Arial"/>
              </w:rPr>
              <w:t>9 April 2024 (Equality, Inclusion, and Human Rights Steering Group)</w:t>
            </w:r>
          </w:p>
          <w:p w14:paraId="6C6323CB" w14:textId="77777777" w:rsidR="00AC067D" w:rsidRDefault="00AC067D" w:rsidP="00C8744C">
            <w:pPr>
              <w:pStyle w:val="TableText"/>
              <w:rPr>
                <w:rFonts w:cs="Arial"/>
              </w:rPr>
            </w:pPr>
          </w:p>
          <w:p w14:paraId="7EF70758" w14:textId="25F80884" w:rsidR="00AC067D" w:rsidRPr="004B77AE" w:rsidRDefault="00AC067D" w:rsidP="00C8744C">
            <w:pPr>
              <w:pStyle w:val="TableText"/>
              <w:rPr>
                <w:rFonts w:cs="Arial"/>
              </w:rPr>
            </w:pPr>
            <w:r>
              <w:rPr>
                <w:rFonts w:cs="Arial"/>
              </w:rPr>
              <w:t>Quality and People Committee 18</w:t>
            </w:r>
            <w:r w:rsidRPr="00AC067D">
              <w:rPr>
                <w:rFonts w:cs="Arial"/>
                <w:vertAlign w:val="superscript"/>
              </w:rPr>
              <w:t>th</w:t>
            </w:r>
            <w:r>
              <w:rPr>
                <w:rFonts w:cs="Arial"/>
              </w:rPr>
              <w:t xml:space="preserve"> April 2024</w:t>
            </w:r>
          </w:p>
        </w:tc>
        <w:tc>
          <w:tcPr>
            <w:tcW w:w="2788" w:type="dxa"/>
            <w:gridSpan w:val="3"/>
            <w:shd w:val="clear" w:color="auto" w:fill="BDDEFF" w:themeFill="text2" w:themeFillTint="33"/>
            <w:vAlign w:val="center"/>
          </w:tcPr>
          <w:p w14:paraId="65E1B147" w14:textId="77777777" w:rsidR="00BB480F" w:rsidRPr="004B77AE" w:rsidRDefault="00BB480F" w:rsidP="00C8744C">
            <w:pPr>
              <w:rPr>
                <w:rFonts w:cs="Arial"/>
                <w:b/>
                <w:color w:val="auto"/>
              </w:rPr>
            </w:pPr>
            <w:r w:rsidRPr="004B77AE">
              <w:rPr>
                <w:rFonts w:cs="Arial"/>
                <w:b/>
                <w:color w:val="auto"/>
              </w:rPr>
              <w:t xml:space="preserve">Individual organisation </w:t>
            </w:r>
          </w:p>
        </w:tc>
        <w:tc>
          <w:tcPr>
            <w:tcW w:w="5103" w:type="dxa"/>
            <w:gridSpan w:val="2"/>
            <w:vAlign w:val="center"/>
          </w:tcPr>
          <w:p w14:paraId="1E5AE9CE" w14:textId="1DAFDA1F" w:rsidR="00BB480F" w:rsidRPr="004B77AE" w:rsidRDefault="00282E63" w:rsidP="00C8744C">
            <w:pPr>
              <w:pStyle w:val="TableText"/>
              <w:rPr>
                <w:rFonts w:cs="Arial"/>
              </w:rPr>
            </w:pPr>
            <w:r w:rsidRPr="004B77AE">
              <w:rPr>
                <w:rFonts w:cs="Arial"/>
              </w:rPr>
              <w:t>NHS Nottingham and Nottinghamshire ICB</w:t>
            </w:r>
          </w:p>
        </w:tc>
      </w:tr>
      <w:tr w:rsidR="00C8744C" w:rsidRPr="004B77AE" w14:paraId="1863CAB5" w14:textId="77777777" w:rsidTr="00C244C7">
        <w:trPr>
          <w:trHeight w:val="835"/>
        </w:trPr>
        <w:tc>
          <w:tcPr>
            <w:tcW w:w="7708" w:type="dxa"/>
            <w:gridSpan w:val="3"/>
            <w:vMerge w:val="restart"/>
            <w:tcBorders>
              <w:left w:val="nil"/>
              <w:bottom w:val="nil"/>
            </w:tcBorders>
            <w:shd w:val="clear" w:color="auto" w:fill="auto"/>
            <w:vAlign w:val="center"/>
          </w:tcPr>
          <w:p w14:paraId="0A98E476" w14:textId="77777777" w:rsidR="00C8744C" w:rsidRPr="004B77AE" w:rsidRDefault="00C8744C" w:rsidP="00C8744C">
            <w:pPr>
              <w:rPr>
                <w:rFonts w:cs="Arial"/>
              </w:rPr>
            </w:pPr>
          </w:p>
        </w:tc>
        <w:tc>
          <w:tcPr>
            <w:tcW w:w="2788" w:type="dxa"/>
            <w:gridSpan w:val="3"/>
            <w:shd w:val="clear" w:color="auto" w:fill="BDDEFF" w:themeFill="text2" w:themeFillTint="33"/>
            <w:vAlign w:val="center"/>
          </w:tcPr>
          <w:p w14:paraId="26813E10" w14:textId="77777777" w:rsidR="00C8744C" w:rsidRPr="004B77AE" w:rsidRDefault="00C8744C" w:rsidP="00C8744C">
            <w:pPr>
              <w:rPr>
                <w:rFonts w:cs="Arial"/>
                <w:b/>
                <w:color w:val="auto"/>
              </w:rPr>
            </w:pPr>
            <w:r w:rsidRPr="004B77AE">
              <w:rPr>
                <w:rFonts w:cs="Arial"/>
                <w:b/>
                <w:color w:val="auto"/>
              </w:rPr>
              <w:t>Partnership* (two or more organisations)</w:t>
            </w:r>
          </w:p>
        </w:tc>
        <w:tc>
          <w:tcPr>
            <w:tcW w:w="5103" w:type="dxa"/>
            <w:gridSpan w:val="2"/>
            <w:vAlign w:val="center"/>
          </w:tcPr>
          <w:p w14:paraId="4736B252" w14:textId="324DEC63" w:rsidR="00C8744C" w:rsidRPr="004B77AE" w:rsidRDefault="00FF01FB" w:rsidP="00C8744C">
            <w:pPr>
              <w:pStyle w:val="TableText"/>
              <w:rPr>
                <w:rFonts w:cs="Arial"/>
              </w:rPr>
            </w:pPr>
            <w:r w:rsidRPr="004B77AE">
              <w:rPr>
                <w:rFonts w:cs="Arial"/>
              </w:rPr>
              <w:t>N/A</w:t>
            </w:r>
          </w:p>
        </w:tc>
      </w:tr>
      <w:tr w:rsidR="00C8744C" w:rsidRPr="004B77AE" w14:paraId="736710D5" w14:textId="77777777" w:rsidTr="00C244C7">
        <w:trPr>
          <w:trHeight w:val="708"/>
        </w:trPr>
        <w:tc>
          <w:tcPr>
            <w:tcW w:w="7708" w:type="dxa"/>
            <w:gridSpan w:val="3"/>
            <w:vMerge/>
            <w:tcBorders>
              <w:top w:val="single" w:sz="4" w:space="0" w:color="auto"/>
              <w:left w:val="nil"/>
              <w:bottom w:val="nil"/>
            </w:tcBorders>
            <w:shd w:val="clear" w:color="auto" w:fill="auto"/>
            <w:vAlign w:val="center"/>
          </w:tcPr>
          <w:p w14:paraId="4FD8CFD6" w14:textId="77777777" w:rsidR="00C8744C" w:rsidRPr="004B77AE" w:rsidRDefault="00C8744C" w:rsidP="00C8744C">
            <w:pPr>
              <w:rPr>
                <w:rFonts w:cs="Arial"/>
              </w:rPr>
            </w:pPr>
          </w:p>
        </w:tc>
        <w:tc>
          <w:tcPr>
            <w:tcW w:w="2788" w:type="dxa"/>
            <w:gridSpan w:val="3"/>
            <w:shd w:val="clear" w:color="auto" w:fill="BDDEFF" w:themeFill="text2" w:themeFillTint="33"/>
            <w:vAlign w:val="center"/>
          </w:tcPr>
          <w:p w14:paraId="4BAA26D3" w14:textId="77777777" w:rsidR="00C8744C" w:rsidRPr="004B77AE" w:rsidRDefault="00C8744C" w:rsidP="00C8744C">
            <w:pPr>
              <w:rPr>
                <w:rFonts w:cs="Arial"/>
                <w:b/>
                <w:color w:val="auto"/>
              </w:rPr>
            </w:pPr>
            <w:r w:rsidRPr="004B77AE">
              <w:rPr>
                <w:rFonts w:cs="Arial"/>
                <w:b/>
                <w:color w:val="auto"/>
              </w:rPr>
              <w:t>Integrated Care System-wide*</w:t>
            </w:r>
          </w:p>
        </w:tc>
        <w:tc>
          <w:tcPr>
            <w:tcW w:w="5103" w:type="dxa"/>
            <w:gridSpan w:val="2"/>
            <w:vAlign w:val="center"/>
          </w:tcPr>
          <w:p w14:paraId="59A03D93" w14:textId="41511A25" w:rsidR="00C8744C" w:rsidRPr="004B77AE" w:rsidRDefault="00FF01FB" w:rsidP="00C8744C">
            <w:pPr>
              <w:pStyle w:val="TableText"/>
              <w:rPr>
                <w:rFonts w:cs="Arial"/>
              </w:rPr>
            </w:pPr>
            <w:r w:rsidRPr="004B77AE">
              <w:rPr>
                <w:rFonts w:cs="Arial"/>
              </w:rPr>
              <w:t>N/A</w:t>
            </w:r>
          </w:p>
        </w:tc>
      </w:tr>
      <w:tr w:rsidR="006721A6" w:rsidRPr="004B77AE" w14:paraId="3FCF24A1" w14:textId="77777777" w:rsidTr="00C244C7">
        <w:trPr>
          <w:gridAfter w:val="1"/>
          <w:wAfter w:w="11" w:type="dxa"/>
        </w:trPr>
        <w:tc>
          <w:tcPr>
            <w:tcW w:w="2547" w:type="dxa"/>
            <w:shd w:val="clear" w:color="auto" w:fill="BDDEFF" w:themeFill="text2" w:themeFillTint="33"/>
            <w:vAlign w:val="center"/>
          </w:tcPr>
          <w:p w14:paraId="46C1C415" w14:textId="77777777" w:rsidR="00BB480F" w:rsidRPr="004B77AE" w:rsidRDefault="00BB480F" w:rsidP="00D80D4B">
            <w:pPr>
              <w:rPr>
                <w:rFonts w:cs="Arial"/>
                <w:b/>
                <w:color w:val="auto"/>
              </w:rPr>
            </w:pPr>
            <w:r w:rsidRPr="004B77AE">
              <w:rPr>
                <w:rFonts w:cs="Arial"/>
                <w:b/>
                <w:color w:val="auto"/>
              </w:rPr>
              <w:t>Date completed</w:t>
            </w:r>
          </w:p>
        </w:tc>
        <w:tc>
          <w:tcPr>
            <w:tcW w:w="5176" w:type="dxa"/>
            <w:gridSpan w:val="3"/>
            <w:vAlign w:val="center"/>
          </w:tcPr>
          <w:p w14:paraId="128C3066" w14:textId="1FEE51FF" w:rsidR="00BB480F" w:rsidRPr="004B77AE" w:rsidRDefault="009C7560" w:rsidP="00D80D4B">
            <w:pPr>
              <w:pStyle w:val="TableText"/>
              <w:rPr>
                <w:rFonts w:cs="Arial"/>
              </w:rPr>
            </w:pPr>
            <w:r w:rsidRPr="004B77AE">
              <w:rPr>
                <w:rFonts w:cs="Arial"/>
              </w:rPr>
              <w:t>29 February 2024</w:t>
            </w:r>
          </w:p>
        </w:tc>
        <w:tc>
          <w:tcPr>
            <w:tcW w:w="2762" w:type="dxa"/>
            <w:shd w:val="clear" w:color="auto" w:fill="BDDEFF" w:themeFill="text2" w:themeFillTint="33"/>
            <w:vAlign w:val="center"/>
          </w:tcPr>
          <w:p w14:paraId="27297992" w14:textId="77777777" w:rsidR="00BB480F" w:rsidRPr="004B77AE" w:rsidRDefault="00BB480F" w:rsidP="00D80D4B">
            <w:pPr>
              <w:rPr>
                <w:rFonts w:cs="Arial"/>
                <w:b/>
                <w:color w:val="auto"/>
              </w:rPr>
            </w:pPr>
            <w:r w:rsidRPr="004B77AE">
              <w:rPr>
                <w:rFonts w:cs="Arial"/>
                <w:b/>
                <w:color w:val="auto"/>
              </w:rPr>
              <w:t xml:space="preserve">Month and year published </w:t>
            </w:r>
          </w:p>
        </w:tc>
        <w:tc>
          <w:tcPr>
            <w:tcW w:w="5103" w:type="dxa"/>
            <w:gridSpan w:val="2"/>
            <w:vAlign w:val="center"/>
          </w:tcPr>
          <w:p w14:paraId="7D299892" w14:textId="1EC7E462" w:rsidR="00BB480F" w:rsidRPr="004B77AE" w:rsidRDefault="00BB480F" w:rsidP="00D80D4B">
            <w:pPr>
              <w:pStyle w:val="TableText"/>
              <w:rPr>
                <w:rFonts w:cs="Arial"/>
              </w:rPr>
            </w:pPr>
          </w:p>
        </w:tc>
      </w:tr>
      <w:tr w:rsidR="00BB480F" w:rsidRPr="004B77AE" w14:paraId="5D4BC514" w14:textId="77777777" w:rsidTr="00C244C7">
        <w:trPr>
          <w:gridAfter w:val="1"/>
          <w:wAfter w:w="11" w:type="dxa"/>
        </w:trPr>
        <w:tc>
          <w:tcPr>
            <w:tcW w:w="2547" w:type="dxa"/>
            <w:shd w:val="clear" w:color="auto" w:fill="BDDEFF" w:themeFill="text2" w:themeFillTint="33"/>
            <w:vAlign w:val="center"/>
          </w:tcPr>
          <w:p w14:paraId="0D7D39B0" w14:textId="77777777" w:rsidR="00BB480F" w:rsidRPr="004B77AE" w:rsidRDefault="00BB480F" w:rsidP="00D80D4B">
            <w:pPr>
              <w:rPr>
                <w:rFonts w:cs="Arial"/>
                <w:b/>
                <w:color w:val="auto"/>
              </w:rPr>
            </w:pPr>
            <w:r w:rsidRPr="004B77AE">
              <w:rPr>
                <w:rFonts w:cs="Arial"/>
                <w:b/>
                <w:color w:val="auto"/>
              </w:rPr>
              <w:t xml:space="preserve">Date authorised </w:t>
            </w:r>
          </w:p>
        </w:tc>
        <w:tc>
          <w:tcPr>
            <w:tcW w:w="5176" w:type="dxa"/>
            <w:gridSpan w:val="3"/>
            <w:vAlign w:val="center"/>
          </w:tcPr>
          <w:p w14:paraId="181ACE1C" w14:textId="77777777" w:rsidR="00BB480F" w:rsidRPr="004B77AE" w:rsidRDefault="00BB480F" w:rsidP="00D80D4B">
            <w:pPr>
              <w:pStyle w:val="TableText"/>
              <w:rPr>
                <w:rFonts w:cs="Arial"/>
              </w:rPr>
            </w:pPr>
          </w:p>
        </w:tc>
        <w:tc>
          <w:tcPr>
            <w:tcW w:w="2762" w:type="dxa"/>
            <w:shd w:val="clear" w:color="auto" w:fill="BDDEFF" w:themeFill="text2" w:themeFillTint="33"/>
            <w:vAlign w:val="center"/>
          </w:tcPr>
          <w:p w14:paraId="5761D25A" w14:textId="77777777" w:rsidR="00BB480F" w:rsidRPr="004B77AE" w:rsidRDefault="00BB480F" w:rsidP="00D80D4B">
            <w:pPr>
              <w:rPr>
                <w:rFonts w:cs="Arial"/>
                <w:b/>
                <w:color w:val="FFFFFF" w:themeColor="background1"/>
              </w:rPr>
            </w:pPr>
            <w:r w:rsidRPr="004B77AE">
              <w:rPr>
                <w:rFonts w:cs="Arial"/>
                <w:b/>
                <w:color w:val="auto"/>
              </w:rPr>
              <w:t>Revision date</w:t>
            </w:r>
          </w:p>
        </w:tc>
        <w:tc>
          <w:tcPr>
            <w:tcW w:w="5103" w:type="dxa"/>
            <w:gridSpan w:val="2"/>
            <w:vAlign w:val="center"/>
          </w:tcPr>
          <w:p w14:paraId="5ECF99CA" w14:textId="77777777" w:rsidR="00BB480F" w:rsidRPr="004B77AE" w:rsidRDefault="00BB480F" w:rsidP="00D80D4B">
            <w:pPr>
              <w:pStyle w:val="TableText"/>
              <w:rPr>
                <w:rFonts w:cs="Arial"/>
              </w:rPr>
            </w:pPr>
          </w:p>
        </w:tc>
      </w:tr>
    </w:tbl>
    <w:p w14:paraId="79D1E418" w14:textId="1B53662F" w:rsidR="00BB480F" w:rsidRPr="004B77AE" w:rsidRDefault="00BB480F" w:rsidP="00BB480F">
      <w:pPr>
        <w:rPr>
          <w:rFonts w:cs="Arial"/>
          <w:b/>
        </w:rPr>
      </w:pPr>
    </w:p>
    <w:tbl>
      <w:tblPr>
        <w:tblStyle w:val="TableGrid"/>
        <w:tblpPr w:leftFromText="180" w:rightFromText="180" w:vertAnchor="page" w:horzAnchor="margin" w:tblpY="2536"/>
        <w:tblW w:w="15446" w:type="dxa"/>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1194"/>
        <w:gridCol w:w="4252"/>
      </w:tblGrid>
      <w:tr w:rsidR="00BB480F" w:rsidRPr="004B77AE" w14:paraId="2044FCA5" w14:textId="77777777" w:rsidTr="0004281F">
        <w:tc>
          <w:tcPr>
            <w:tcW w:w="11194" w:type="dxa"/>
            <w:shd w:val="clear" w:color="auto" w:fill="BDDEFF" w:themeFill="text2" w:themeFillTint="33"/>
            <w:vAlign w:val="center"/>
          </w:tcPr>
          <w:p w14:paraId="57E9D736" w14:textId="77777777" w:rsidR="00BB480F" w:rsidRPr="004B77AE" w:rsidRDefault="00BB480F" w:rsidP="0004281F">
            <w:pPr>
              <w:jc w:val="center"/>
              <w:rPr>
                <w:rFonts w:cs="Arial"/>
                <w:b/>
                <w:color w:val="auto"/>
              </w:rPr>
            </w:pPr>
            <w:r w:rsidRPr="004B77AE">
              <w:rPr>
                <w:rFonts w:cs="Arial"/>
                <w:b/>
                <w:color w:val="auto"/>
              </w:rPr>
              <w:t>Action/activity</w:t>
            </w:r>
          </w:p>
        </w:tc>
        <w:tc>
          <w:tcPr>
            <w:tcW w:w="4252" w:type="dxa"/>
            <w:shd w:val="clear" w:color="auto" w:fill="BDDEFF" w:themeFill="text2" w:themeFillTint="33"/>
            <w:vAlign w:val="center"/>
          </w:tcPr>
          <w:p w14:paraId="40F208B6" w14:textId="77777777" w:rsidR="00BB480F" w:rsidRPr="004B77AE" w:rsidRDefault="00BB480F" w:rsidP="0004281F">
            <w:pPr>
              <w:jc w:val="center"/>
              <w:rPr>
                <w:rFonts w:cs="Arial"/>
                <w:b/>
                <w:color w:val="auto"/>
              </w:rPr>
            </w:pPr>
            <w:r w:rsidRPr="004B77AE">
              <w:rPr>
                <w:rFonts w:cs="Arial"/>
                <w:b/>
                <w:color w:val="auto"/>
              </w:rPr>
              <w:t>Related equality objectives</w:t>
            </w:r>
          </w:p>
        </w:tc>
      </w:tr>
      <w:tr w:rsidR="001178B8" w:rsidRPr="004B77AE" w14:paraId="7EA97CC4" w14:textId="77777777" w:rsidTr="0004281F">
        <w:trPr>
          <w:trHeight w:val="3052"/>
        </w:trPr>
        <w:tc>
          <w:tcPr>
            <w:tcW w:w="11194" w:type="dxa"/>
          </w:tcPr>
          <w:p w14:paraId="119D0735" w14:textId="417C09BC" w:rsidR="001178B8" w:rsidRPr="004B77AE" w:rsidRDefault="001178B8" w:rsidP="0004281F">
            <w:pPr>
              <w:rPr>
                <w:rFonts w:cs="Arial"/>
              </w:rPr>
            </w:pPr>
            <w:r w:rsidRPr="004B77AE">
              <w:rPr>
                <w:rFonts w:cs="Arial"/>
              </w:rPr>
              <w:t>There is no previous action plan for NHS Nottingham and Nottinghamshire ICB as this is the first year the ICB has had to submit the EDS.</w:t>
            </w:r>
          </w:p>
        </w:tc>
        <w:tc>
          <w:tcPr>
            <w:tcW w:w="4252" w:type="dxa"/>
          </w:tcPr>
          <w:p w14:paraId="502A37BF" w14:textId="023CAD30" w:rsidR="001178B8" w:rsidRPr="004B77AE" w:rsidRDefault="000B5C04" w:rsidP="0004281F">
            <w:pPr>
              <w:rPr>
                <w:rFonts w:cs="Arial"/>
              </w:rPr>
            </w:pPr>
            <w:r w:rsidRPr="004B77AE">
              <w:rPr>
                <w:rFonts w:cs="Arial"/>
              </w:rPr>
              <w:t>Not applicable.</w:t>
            </w:r>
          </w:p>
        </w:tc>
      </w:tr>
    </w:tbl>
    <w:p w14:paraId="712BB3C9" w14:textId="517D25C5" w:rsidR="00BB480F" w:rsidRPr="00C244C7" w:rsidRDefault="00BB480F" w:rsidP="004836B2">
      <w:pPr>
        <w:pStyle w:val="Heading1"/>
        <w:rPr>
          <w:rFonts w:cs="Arial"/>
        </w:rPr>
      </w:pPr>
      <w:r w:rsidRPr="00500A4F">
        <w:rPr>
          <w:rFonts w:cs="Arial"/>
        </w:rPr>
        <w:t xml:space="preserve"> </w:t>
      </w:r>
      <w:bookmarkStart w:id="5" w:name="_Toc166768098"/>
      <w:r w:rsidR="004836B2" w:rsidRPr="004B77AE">
        <w:rPr>
          <w:rFonts w:cs="Arial"/>
        </w:rPr>
        <w:t>Completed Actions from Previous Year (</w:t>
      </w:r>
      <w:r w:rsidR="00282E63" w:rsidRPr="004B77AE">
        <w:rPr>
          <w:rFonts w:cs="Arial"/>
        </w:rPr>
        <w:t>2022/23</w:t>
      </w:r>
      <w:r w:rsidR="004836B2" w:rsidRPr="004B77AE">
        <w:rPr>
          <w:rFonts w:cs="Arial"/>
        </w:rPr>
        <w:t>)</w:t>
      </w:r>
      <w:bookmarkEnd w:id="5"/>
      <w:r w:rsidRPr="0004281F">
        <w:rPr>
          <w:rFonts w:cs="Arial"/>
          <w:sz w:val="32"/>
        </w:rPr>
        <w:br w:type="page"/>
      </w:r>
    </w:p>
    <w:p w14:paraId="4F4F8B21" w14:textId="195D1205" w:rsidR="006B4A3D" w:rsidRDefault="006B4A3D" w:rsidP="006B4A3D">
      <w:pPr>
        <w:pStyle w:val="Heading1"/>
        <w:rPr>
          <w:rFonts w:cs="Arial"/>
        </w:rPr>
      </w:pPr>
      <w:bookmarkStart w:id="6" w:name="_Toc166768100"/>
      <w:r w:rsidRPr="004B77AE">
        <w:rPr>
          <w:rFonts w:cs="Arial"/>
        </w:rPr>
        <w:lastRenderedPageBreak/>
        <w:t xml:space="preserve">EDS </w:t>
      </w:r>
      <w:r w:rsidR="00C8623F" w:rsidRPr="004B77AE">
        <w:rPr>
          <w:rFonts w:cs="Arial"/>
        </w:rPr>
        <w:t>Rating</w:t>
      </w:r>
      <w:r w:rsidRPr="004B77AE">
        <w:rPr>
          <w:rFonts w:cs="Arial"/>
        </w:rPr>
        <w:t xml:space="preserve"> and Score Card</w:t>
      </w:r>
      <w:bookmarkEnd w:id="6"/>
    </w:p>
    <w:p w14:paraId="1A01E9DF" w14:textId="77777777" w:rsidR="0004281F" w:rsidRPr="004B77AE" w:rsidRDefault="0004281F" w:rsidP="0004281F">
      <w:pPr>
        <w:pStyle w:val="TableText"/>
        <w:rPr>
          <w:rFonts w:cs="Arial"/>
        </w:rPr>
      </w:pPr>
      <w:r w:rsidRPr="004B77AE">
        <w:rPr>
          <w:rFonts w:cs="Arial"/>
        </w:rPr>
        <w:t xml:space="preserve">Please refer to the Rating and Score Card supporting guidance document before you start to score. The Rating and Score Card supporting guidance document has a full explanation of the new rating procedure, and can assist you and those you are engaging with to ensure rating is done </w:t>
      </w:r>
      <w:proofErr w:type="gramStart"/>
      <w:r w:rsidRPr="004B77AE">
        <w:rPr>
          <w:rFonts w:cs="Arial"/>
        </w:rPr>
        <w:t>correctly</w:t>
      </w:r>
      <w:proofErr w:type="gramEnd"/>
    </w:p>
    <w:p w14:paraId="5675DCD0" w14:textId="77777777" w:rsidR="0004281F" w:rsidRPr="004B77AE" w:rsidRDefault="0004281F" w:rsidP="0004281F">
      <w:pPr>
        <w:pStyle w:val="TableText"/>
        <w:rPr>
          <w:rFonts w:cs="Arial"/>
        </w:rPr>
      </w:pPr>
    </w:p>
    <w:p w14:paraId="69DD5ADC" w14:textId="02A4F860" w:rsidR="0004281F" w:rsidRPr="0004281F" w:rsidRDefault="0004281F" w:rsidP="0004281F">
      <w:pPr>
        <w:pStyle w:val="BodyText"/>
      </w:pPr>
      <w:r w:rsidRPr="004B77AE">
        <w:rPr>
          <w:rFonts w:cs="Arial"/>
        </w:rPr>
        <w:t xml:space="preserve">Score each outcome. Add the scores of all outcomes together. This will provide you with your overall score, or your EDS Organisation Rating. Ratings in accordance </w:t>
      </w:r>
      <w:proofErr w:type="gramStart"/>
      <w:r w:rsidRPr="004B77AE">
        <w:rPr>
          <w:rFonts w:cs="Arial"/>
        </w:rPr>
        <w:t>to</w:t>
      </w:r>
      <w:proofErr w:type="gramEnd"/>
      <w:r w:rsidRPr="004B77AE">
        <w:rPr>
          <w:rFonts w:cs="Arial"/>
        </w:rPr>
        <w:t xml:space="preserve"> scores are below</w:t>
      </w:r>
    </w:p>
    <w:tbl>
      <w:tblPr>
        <w:tblStyle w:val="TableGrid"/>
        <w:tblW w:w="15451" w:type="dxa"/>
        <w:tblInd w:w="-5" w:type="dxa"/>
        <w:tblCellMar>
          <w:top w:w="62" w:type="dxa"/>
          <w:left w:w="62" w:type="dxa"/>
          <w:bottom w:w="62" w:type="dxa"/>
          <w:right w:w="62" w:type="dxa"/>
        </w:tblCellMar>
        <w:tblLook w:val="04A0" w:firstRow="1" w:lastRow="0" w:firstColumn="1" w:lastColumn="0" w:noHBand="0" w:noVBand="1"/>
      </w:tblPr>
      <w:tblGrid>
        <w:gridCol w:w="7725"/>
        <w:gridCol w:w="7726"/>
      </w:tblGrid>
      <w:tr w:rsidR="00BB480F" w:rsidRPr="004B77AE" w14:paraId="05A4A469" w14:textId="77777777" w:rsidTr="0004281F">
        <w:trPr>
          <w:trHeight w:val="850"/>
        </w:trPr>
        <w:tc>
          <w:tcPr>
            <w:tcW w:w="7725"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12605887" w14:textId="5703B6BB" w:rsidR="00BB480F" w:rsidRPr="004B77AE" w:rsidRDefault="00BB480F" w:rsidP="00DE33E9">
            <w:pPr>
              <w:rPr>
                <w:rFonts w:cs="Arial"/>
              </w:rPr>
            </w:pPr>
            <w:r w:rsidRPr="004B77AE">
              <w:rPr>
                <w:rFonts w:cs="Arial"/>
                <w:b/>
                <w:color w:val="C00000"/>
              </w:rPr>
              <w:t>Undeveloped activity</w:t>
            </w:r>
            <w:r w:rsidRPr="004B77AE">
              <w:rPr>
                <w:rFonts w:cs="Arial"/>
              </w:rPr>
              <w:t xml:space="preserve"> – </w:t>
            </w:r>
            <w:r w:rsidRPr="004B77AE">
              <w:rPr>
                <w:rFonts w:cs="Arial"/>
                <w:b/>
              </w:rPr>
              <w:t>organisations score out of 0</w:t>
            </w:r>
            <w:r w:rsidRPr="004B77AE">
              <w:rPr>
                <w:rFonts w:cs="Arial"/>
              </w:rPr>
              <w:t xml:space="preserve"> for each outcome</w:t>
            </w:r>
          </w:p>
        </w:tc>
        <w:tc>
          <w:tcPr>
            <w:tcW w:w="7726"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38508FAD" w14:textId="73DB1BA4" w:rsidR="00BB480F" w:rsidRPr="004B77AE" w:rsidRDefault="00BB480F" w:rsidP="00DE33E9">
            <w:pPr>
              <w:rPr>
                <w:rFonts w:cs="Arial"/>
                <w:b/>
                <w:color w:val="7030A0"/>
              </w:rPr>
            </w:pPr>
            <w:r w:rsidRPr="004B77AE">
              <w:rPr>
                <w:rFonts w:cs="Arial"/>
              </w:rPr>
              <w:t xml:space="preserve">Those who score </w:t>
            </w:r>
            <w:r w:rsidRPr="004B77AE">
              <w:rPr>
                <w:rFonts w:cs="Arial"/>
                <w:b/>
              </w:rPr>
              <w:t>under 8,</w:t>
            </w:r>
            <w:r w:rsidRPr="004B77AE">
              <w:rPr>
                <w:rFonts w:cs="Arial"/>
              </w:rPr>
              <w:t xml:space="preserve"> adding all outcome scores in all domains, are rated </w:t>
            </w:r>
            <w:r w:rsidRPr="004B77AE">
              <w:rPr>
                <w:rFonts w:cs="Arial"/>
                <w:b/>
                <w:color w:val="C00000"/>
              </w:rPr>
              <w:t>Undeveloped</w:t>
            </w:r>
            <w:r w:rsidRPr="004B77AE">
              <w:rPr>
                <w:rFonts w:cs="Arial"/>
              </w:rPr>
              <w:t xml:space="preserve"> </w:t>
            </w:r>
          </w:p>
        </w:tc>
      </w:tr>
      <w:tr w:rsidR="0032702A" w:rsidRPr="004B77AE" w14:paraId="17C06607" w14:textId="77777777" w:rsidTr="0004281F">
        <w:trPr>
          <w:trHeight w:val="850"/>
        </w:trPr>
        <w:tc>
          <w:tcPr>
            <w:tcW w:w="7725"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619F7C0F" w14:textId="03130ABA" w:rsidR="0032702A" w:rsidRPr="004B77AE" w:rsidRDefault="00DE33E9" w:rsidP="00DE33E9">
            <w:pPr>
              <w:rPr>
                <w:rFonts w:cs="Arial"/>
              </w:rPr>
            </w:pPr>
            <w:r w:rsidRPr="004B77AE">
              <w:rPr>
                <w:rFonts w:cs="Arial"/>
                <w:b/>
                <w:color w:val="1991C2" w:themeColor="accent4" w:themeShade="BF"/>
              </w:rPr>
              <w:t>Developing activity</w:t>
            </w:r>
            <w:r w:rsidRPr="004B77AE">
              <w:rPr>
                <w:rFonts w:cs="Arial"/>
              </w:rPr>
              <w:t xml:space="preserve"> – </w:t>
            </w:r>
            <w:r w:rsidRPr="004B77AE">
              <w:rPr>
                <w:rFonts w:cs="Arial"/>
                <w:b/>
              </w:rPr>
              <w:t xml:space="preserve">organisations score out of 1 </w:t>
            </w:r>
            <w:r w:rsidRPr="004B77AE">
              <w:rPr>
                <w:rFonts w:cs="Arial"/>
              </w:rPr>
              <w:t>for each outcome</w:t>
            </w:r>
          </w:p>
        </w:tc>
        <w:tc>
          <w:tcPr>
            <w:tcW w:w="7726"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3E67309A" w14:textId="51196A59" w:rsidR="0032702A" w:rsidRPr="004B77AE" w:rsidRDefault="00DE33E9" w:rsidP="00DE33E9">
            <w:pPr>
              <w:rPr>
                <w:rFonts w:cs="Arial"/>
              </w:rPr>
            </w:pPr>
            <w:r w:rsidRPr="004B77AE">
              <w:rPr>
                <w:rFonts w:cs="Arial"/>
              </w:rPr>
              <w:t xml:space="preserve">Those who score </w:t>
            </w:r>
            <w:r w:rsidRPr="004B77AE">
              <w:rPr>
                <w:rFonts w:cs="Arial"/>
                <w:b/>
              </w:rPr>
              <w:t>between 8 and 21,</w:t>
            </w:r>
            <w:r w:rsidRPr="004B77AE">
              <w:rPr>
                <w:rFonts w:cs="Arial"/>
              </w:rPr>
              <w:t xml:space="preserve"> adding all outcome scores in all domains, are rated </w:t>
            </w:r>
            <w:r w:rsidRPr="004B77AE">
              <w:rPr>
                <w:rFonts w:cs="Arial"/>
                <w:b/>
                <w:color w:val="1991C2" w:themeColor="accent4" w:themeShade="BF"/>
              </w:rPr>
              <w:t>Developing</w:t>
            </w:r>
          </w:p>
        </w:tc>
      </w:tr>
      <w:tr w:rsidR="0032702A" w:rsidRPr="004B77AE" w14:paraId="6917F7B5" w14:textId="77777777" w:rsidTr="0004281F">
        <w:trPr>
          <w:trHeight w:val="850"/>
        </w:trPr>
        <w:tc>
          <w:tcPr>
            <w:tcW w:w="7725"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23896C49" w14:textId="5857215A" w:rsidR="0032702A" w:rsidRPr="004B77AE" w:rsidRDefault="00DE33E9" w:rsidP="00DE33E9">
            <w:pPr>
              <w:rPr>
                <w:rFonts w:cs="Arial"/>
              </w:rPr>
            </w:pPr>
            <w:r w:rsidRPr="004B77AE">
              <w:rPr>
                <w:rFonts w:cs="Arial"/>
                <w:b/>
                <w:color w:val="00B050"/>
              </w:rPr>
              <w:t>Achieving activity</w:t>
            </w:r>
            <w:r w:rsidRPr="004B77AE">
              <w:rPr>
                <w:rFonts w:cs="Arial"/>
              </w:rPr>
              <w:t xml:space="preserve"> – </w:t>
            </w:r>
            <w:r w:rsidRPr="004B77AE">
              <w:rPr>
                <w:rFonts w:cs="Arial"/>
                <w:b/>
              </w:rPr>
              <w:t xml:space="preserve">organisations score out of 2 </w:t>
            </w:r>
            <w:r w:rsidRPr="004B77AE">
              <w:rPr>
                <w:rFonts w:cs="Arial"/>
              </w:rPr>
              <w:t>for each outcome</w:t>
            </w:r>
          </w:p>
        </w:tc>
        <w:tc>
          <w:tcPr>
            <w:tcW w:w="7726"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6A0BFDE4" w14:textId="747D9477" w:rsidR="0032702A" w:rsidRPr="004B77AE" w:rsidRDefault="00DE33E9" w:rsidP="00DE33E9">
            <w:pPr>
              <w:rPr>
                <w:rFonts w:cs="Arial"/>
              </w:rPr>
            </w:pPr>
            <w:r w:rsidRPr="004B77AE">
              <w:rPr>
                <w:rFonts w:cs="Arial"/>
              </w:rPr>
              <w:t xml:space="preserve">Those who score </w:t>
            </w:r>
            <w:r w:rsidRPr="004B77AE">
              <w:rPr>
                <w:rFonts w:cs="Arial"/>
                <w:b/>
              </w:rPr>
              <w:t>between 22 and 32,</w:t>
            </w:r>
            <w:r w:rsidRPr="004B77AE">
              <w:rPr>
                <w:rFonts w:cs="Arial"/>
              </w:rPr>
              <w:t xml:space="preserve"> adding all outcome scores in all domains, are rated</w:t>
            </w:r>
            <w:r w:rsidRPr="004B77AE">
              <w:rPr>
                <w:rFonts w:cs="Arial"/>
                <w:b/>
                <w:color w:val="7030A0"/>
              </w:rPr>
              <w:t xml:space="preserve"> </w:t>
            </w:r>
            <w:r w:rsidRPr="004B77AE">
              <w:rPr>
                <w:rFonts w:cs="Arial"/>
                <w:b/>
                <w:color w:val="00B050"/>
              </w:rPr>
              <w:t>Achieving</w:t>
            </w:r>
          </w:p>
        </w:tc>
      </w:tr>
      <w:tr w:rsidR="0032702A" w:rsidRPr="004B77AE" w14:paraId="461F0707" w14:textId="77777777" w:rsidTr="0004281F">
        <w:trPr>
          <w:trHeight w:val="850"/>
        </w:trPr>
        <w:tc>
          <w:tcPr>
            <w:tcW w:w="7725"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4FF07431" w14:textId="32007FDB" w:rsidR="0032702A" w:rsidRPr="004B77AE" w:rsidRDefault="00DE33E9" w:rsidP="00DE33E9">
            <w:pPr>
              <w:rPr>
                <w:rFonts w:cs="Arial"/>
              </w:rPr>
            </w:pPr>
            <w:r w:rsidRPr="004B77AE">
              <w:rPr>
                <w:rFonts w:cs="Arial"/>
                <w:b/>
                <w:color w:val="7030A0"/>
              </w:rPr>
              <w:t>Excelling activity</w:t>
            </w:r>
            <w:r w:rsidRPr="004B77AE">
              <w:rPr>
                <w:rFonts w:cs="Arial"/>
              </w:rPr>
              <w:t xml:space="preserve"> – </w:t>
            </w:r>
            <w:r w:rsidRPr="004B77AE">
              <w:rPr>
                <w:rFonts w:cs="Arial"/>
                <w:b/>
              </w:rPr>
              <w:t xml:space="preserve">organisations score out of 3 </w:t>
            </w:r>
            <w:r w:rsidRPr="004B77AE">
              <w:rPr>
                <w:rFonts w:cs="Arial"/>
              </w:rPr>
              <w:t>for each outcome</w:t>
            </w:r>
          </w:p>
        </w:tc>
        <w:tc>
          <w:tcPr>
            <w:tcW w:w="7726"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56A65530" w14:textId="74F9995F" w:rsidR="0032702A" w:rsidRPr="004B77AE" w:rsidRDefault="00DE33E9" w:rsidP="00DE33E9">
            <w:pPr>
              <w:rPr>
                <w:rFonts w:cs="Arial"/>
              </w:rPr>
            </w:pPr>
            <w:r w:rsidRPr="004B77AE">
              <w:rPr>
                <w:rFonts w:cs="Arial"/>
              </w:rPr>
              <w:t xml:space="preserve">Those who score </w:t>
            </w:r>
            <w:r w:rsidRPr="004B77AE">
              <w:rPr>
                <w:rFonts w:cs="Arial"/>
                <w:b/>
              </w:rPr>
              <w:t>33,</w:t>
            </w:r>
            <w:r w:rsidRPr="004B77AE">
              <w:rPr>
                <w:rFonts w:cs="Arial"/>
              </w:rPr>
              <w:t xml:space="preserve"> adding all outcome scores in all domains, are rated</w:t>
            </w:r>
            <w:r w:rsidRPr="004B77AE">
              <w:rPr>
                <w:rFonts w:cs="Arial"/>
                <w:b/>
                <w:color w:val="7030A0"/>
              </w:rPr>
              <w:t xml:space="preserve"> Excelling</w:t>
            </w:r>
          </w:p>
        </w:tc>
      </w:tr>
    </w:tbl>
    <w:p w14:paraId="18440B57" w14:textId="77777777" w:rsidR="00BB480F" w:rsidRPr="00500A4F" w:rsidRDefault="00BB480F" w:rsidP="00BB480F">
      <w:pPr>
        <w:rPr>
          <w:rFonts w:ascii="Tenorite" w:hAnsi="Tenorite" w:cs="Arial"/>
        </w:rPr>
      </w:pPr>
      <w:r w:rsidRPr="00500A4F">
        <w:rPr>
          <w:rFonts w:ascii="Tenorite" w:hAnsi="Tenorite" w:cs="Arial"/>
        </w:rPr>
        <w:br w:type="page"/>
      </w:r>
    </w:p>
    <w:p w14:paraId="3C2F34CC" w14:textId="2CE28071" w:rsidR="00F66A14" w:rsidRPr="004B77AE" w:rsidRDefault="00F66A14" w:rsidP="00F66A14">
      <w:pPr>
        <w:pStyle w:val="Heading2"/>
        <w:rPr>
          <w:rFonts w:cs="Arial"/>
        </w:rPr>
      </w:pPr>
      <w:bookmarkStart w:id="7" w:name="_Toc166768101"/>
      <w:r w:rsidRPr="004B77AE">
        <w:rPr>
          <w:rFonts w:cs="Arial"/>
        </w:rPr>
        <w:lastRenderedPageBreak/>
        <w:t>Domain 1: Commissioned Services</w:t>
      </w:r>
      <w:bookmarkEnd w:id="7"/>
    </w:p>
    <w:p w14:paraId="45A82216" w14:textId="68D4D270" w:rsidR="004A3123" w:rsidRDefault="00176A34" w:rsidP="00F66A14">
      <w:pPr>
        <w:rPr>
          <w:rFonts w:cs="Arial"/>
        </w:rPr>
      </w:pPr>
      <w:r>
        <w:rPr>
          <w:rFonts w:cs="Arial"/>
        </w:rPr>
        <w:t xml:space="preserve">As part of the EDS </w:t>
      </w:r>
      <w:proofErr w:type="gramStart"/>
      <w:r>
        <w:rPr>
          <w:rFonts w:cs="Arial"/>
        </w:rPr>
        <w:t>process</w:t>
      </w:r>
      <w:proofErr w:type="gramEnd"/>
      <w:r>
        <w:rPr>
          <w:rFonts w:cs="Arial"/>
        </w:rPr>
        <w:t xml:space="preserve"> we are required to </w:t>
      </w:r>
      <w:r w:rsidR="00092477">
        <w:rPr>
          <w:rFonts w:cs="Arial"/>
        </w:rPr>
        <w:t>select</w:t>
      </w:r>
      <w:r>
        <w:rPr>
          <w:rFonts w:cs="Arial"/>
        </w:rPr>
        <w:t xml:space="preserve"> and assess </w:t>
      </w:r>
      <w:r w:rsidR="00092477">
        <w:rPr>
          <w:rFonts w:cs="Arial"/>
        </w:rPr>
        <w:t>three</w:t>
      </w:r>
      <w:r>
        <w:rPr>
          <w:rFonts w:cs="Arial"/>
        </w:rPr>
        <w:t xml:space="preserve"> services. Guidance informs that the </w:t>
      </w:r>
      <w:r w:rsidR="00092477">
        <w:rPr>
          <w:rFonts w:cs="Arial"/>
        </w:rPr>
        <w:t>three</w:t>
      </w:r>
      <w:r>
        <w:rPr>
          <w:rFonts w:cs="Arial"/>
        </w:rPr>
        <w:t xml:space="preserve"> services we select should be one that is performing well, one service that is not performing so well and a third that’s performance is currently unknown either due to being new or the relevant data not being available</w:t>
      </w:r>
      <w:r w:rsidR="004A3123">
        <w:rPr>
          <w:rFonts w:cs="Arial"/>
        </w:rPr>
        <w:t>.</w:t>
      </w:r>
    </w:p>
    <w:p w14:paraId="1A800435" w14:textId="77777777" w:rsidR="004A3123" w:rsidRDefault="004A3123" w:rsidP="00F66A14">
      <w:pPr>
        <w:rPr>
          <w:rFonts w:cs="Arial"/>
        </w:rPr>
      </w:pPr>
    </w:p>
    <w:p w14:paraId="1C15EE20" w14:textId="77777777" w:rsidR="004A3123" w:rsidRDefault="004A3123" w:rsidP="00F66A14">
      <w:pPr>
        <w:rPr>
          <w:rFonts w:cs="Arial"/>
        </w:rPr>
      </w:pPr>
      <w:r>
        <w:rPr>
          <w:rFonts w:cs="Arial"/>
        </w:rPr>
        <w:t>The three services that we have selected are as follows:</w:t>
      </w:r>
    </w:p>
    <w:p w14:paraId="031A9544" w14:textId="77777777" w:rsidR="004A3123" w:rsidRDefault="004A3123" w:rsidP="00F66A14">
      <w:pPr>
        <w:rPr>
          <w:rFonts w:cs="Arial"/>
        </w:rPr>
      </w:pPr>
    </w:p>
    <w:p w14:paraId="655CFE06" w14:textId="77777777" w:rsidR="004A3123" w:rsidRDefault="004A3123" w:rsidP="00F66A14">
      <w:pPr>
        <w:rPr>
          <w:rFonts w:cs="Arial"/>
        </w:rPr>
      </w:pPr>
      <w:r>
        <w:rPr>
          <w:rFonts w:cs="Arial"/>
        </w:rPr>
        <w:t>Talking Therapies</w:t>
      </w:r>
    </w:p>
    <w:p w14:paraId="7A0955F0" w14:textId="4A97DB78" w:rsidR="00F66A14" w:rsidRDefault="004A3123" w:rsidP="00F66A14">
      <w:pPr>
        <w:rPr>
          <w:rFonts w:cs="Arial"/>
        </w:rPr>
      </w:pPr>
      <w:r w:rsidRPr="004A3123">
        <w:rPr>
          <w:rFonts w:cs="Arial"/>
        </w:rPr>
        <w:t>Home Enteral Feeding and Dietetics Service</w:t>
      </w:r>
    </w:p>
    <w:p w14:paraId="50358B1B" w14:textId="4DA377B3" w:rsidR="004A3123" w:rsidRPr="004A3123" w:rsidDel="00AC067D" w:rsidRDefault="004A3123" w:rsidP="00F66A14">
      <w:pPr>
        <w:rPr>
          <w:rFonts w:cs="Arial"/>
        </w:rPr>
      </w:pPr>
      <w:r w:rsidRPr="004A3123">
        <w:rPr>
          <w:rFonts w:cs="Arial"/>
        </w:rPr>
        <w:t>Commissioning P3 Beds in Care and Nursing Homes</w:t>
      </w:r>
    </w:p>
    <w:p w14:paraId="2FC97A63" w14:textId="77777777" w:rsidR="00F66A14" w:rsidRPr="004B77AE" w:rsidRDefault="00F66A14" w:rsidP="00F66A14">
      <w:pPr>
        <w:rPr>
          <w:rFonts w:cs="Arial"/>
        </w:rPr>
      </w:pPr>
    </w:p>
    <w:p w14:paraId="5E111433" w14:textId="4CE857D5" w:rsidR="004A3123" w:rsidRDefault="004A3123" w:rsidP="00214A68">
      <w:pPr>
        <w:pStyle w:val="TableText"/>
        <w:rPr>
          <w:rFonts w:cs="Arial"/>
        </w:rPr>
      </w:pPr>
      <w:r>
        <w:rPr>
          <w:rFonts w:cs="Arial"/>
        </w:rPr>
        <w:t xml:space="preserve">We have not identified which of these services fall under the categories stipulated within the guidance. </w:t>
      </w:r>
    </w:p>
    <w:p w14:paraId="320CB9EB" w14:textId="77777777" w:rsidR="004A3123" w:rsidRDefault="004A3123" w:rsidP="00214A68">
      <w:pPr>
        <w:pStyle w:val="TableText"/>
        <w:rPr>
          <w:rFonts w:cs="Arial"/>
        </w:rPr>
      </w:pPr>
    </w:p>
    <w:p w14:paraId="45887CF2" w14:textId="7CC2953A" w:rsidR="00176A34" w:rsidRDefault="00214A68" w:rsidP="00214A68">
      <w:pPr>
        <w:pStyle w:val="TableText"/>
        <w:rPr>
          <w:rFonts w:cs="Arial"/>
        </w:rPr>
      </w:pPr>
      <w:r w:rsidRPr="00AC067D">
        <w:rPr>
          <w:rFonts w:cs="Arial"/>
        </w:rPr>
        <w:t xml:space="preserve">For the self-assessment of the Domain 1 the ICB has primarily used our internal EQIA process to </w:t>
      </w:r>
      <w:r w:rsidR="00C838F2" w:rsidRPr="00AC067D">
        <w:rPr>
          <w:rFonts w:cs="Arial"/>
        </w:rPr>
        <w:t xml:space="preserve">understand how </w:t>
      </w:r>
      <w:r w:rsidR="00AC067D">
        <w:rPr>
          <w:rFonts w:cs="Arial"/>
        </w:rPr>
        <w:t>the service commissioning process</w:t>
      </w:r>
      <w:r w:rsidR="00C838F2" w:rsidRPr="00AC067D">
        <w:rPr>
          <w:rFonts w:cs="Arial"/>
        </w:rPr>
        <w:t xml:space="preserve"> has impacted on the quality and equity of the services and broken-down barriers linked to health inequalities</w:t>
      </w:r>
      <w:r w:rsidR="00AC067D">
        <w:rPr>
          <w:rFonts w:cs="Arial"/>
        </w:rPr>
        <w:t xml:space="preserve">, although some additional broader examples have been </w:t>
      </w:r>
      <w:r w:rsidR="004A3123">
        <w:rPr>
          <w:rFonts w:cs="Arial"/>
        </w:rPr>
        <w:t xml:space="preserve">provided under general comments. </w:t>
      </w:r>
    </w:p>
    <w:p w14:paraId="12BEA0FE" w14:textId="77777777" w:rsidR="00176A34" w:rsidRDefault="00176A34" w:rsidP="00214A68">
      <w:pPr>
        <w:pStyle w:val="TableText"/>
        <w:rPr>
          <w:rFonts w:cs="Arial"/>
        </w:rPr>
      </w:pPr>
    </w:p>
    <w:p w14:paraId="030187DA" w14:textId="67586B08" w:rsidR="00C838F2" w:rsidRPr="00AC067D" w:rsidRDefault="00C234C5" w:rsidP="00214A68">
      <w:pPr>
        <w:pStyle w:val="TableText"/>
        <w:rPr>
          <w:rFonts w:cs="Arial"/>
        </w:rPr>
      </w:pPr>
      <w:r w:rsidRPr="00AC067D">
        <w:rPr>
          <w:rFonts w:cs="Arial"/>
        </w:rPr>
        <w:t xml:space="preserve">Examples of how the ICB collates and uses data can be found in </w:t>
      </w:r>
      <w:r w:rsidR="007C3F63">
        <w:rPr>
          <w:rFonts w:cs="Arial"/>
        </w:rPr>
        <w:fldChar w:fldCharType="begin"/>
      </w:r>
      <w:r w:rsidR="007C3F63">
        <w:rPr>
          <w:rFonts w:cs="Arial"/>
        </w:rPr>
        <w:instrText xml:space="preserve"> REF _Ref166834109 \h </w:instrText>
      </w:r>
      <w:r w:rsidR="007C3F63">
        <w:rPr>
          <w:rFonts w:cs="Arial"/>
        </w:rPr>
      </w:r>
      <w:r w:rsidR="007C3F63">
        <w:rPr>
          <w:rFonts w:cs="Arial"/>
        </w:rPr>
        <w:fldChar w:fldCharType="separate"/>
      </w:r>
      <w:r w:rsidR="007C3F63" w:rsidRPr="004A3123">
        <w:t>Appendix 1 – Data Sources</w:t>
      </w:r>
      <w:r w:rsidR="007C3F63">
        <w:rPr>
          <w:rFonts w:cs="Arial"/>
        </w:rPr>
        <w:fldChar w:fldCharType="end"/>
      </w:r>
      <w:r w:rsidRPr="00AC067D">
        <w:rPr>
          <w:rFonts w:cs="Arial"/>
        </w:rPr>
        <w:t>. This details the data that is in development to assess the performance of services across Nottingham and Nottinghamshire ICS.</w:t>
      </w:r>
    </w:p>
    <w:p w14:paraId="677E0E07" w14:textId="77777777" w:rsidR="00C838F2" w:rsidRPr="00AC067D" w:rsidRDefault="00C838F2" w:rsidP="00214A68">
      <w:pPr>
        <w:pStyle w:val="TableText"/>
        <w:rPr>
          <w:rFonts w:cs="Arial"/>
        </w:rPr>
      </w:pPr>
    </w:p>
    <w:p w14:paraId="0573CF1E" w14:textId="7A6D4B75" w:rsidR="00BB480F" w:rsidRPr="004B77AE" w:rsidRDefault="00BB480F" w:rsidP="00F66A14">
      <w:pPr>
        <w:rPr>
          <w:rFonts w:cs="Arial"/>
        </w:rPr>
      </w:pPr>
    </w:p>
    <w:tbl>
      <w:tblPr>
        <w:tblStyle w:val="TableGrid"/>
        <w:tblpPr w:leftFromText="180" w:rightFromText="180" w:vertAnchor="page" w:horzAnchor="margin" w:tblpY="1051"/>
        <w:tblW w:w="15446" w:type="dxa"/>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093"/>
        <w:gridCol w:w="36"/>
        <w:gridCol w:w="3214"/>
        <w:gridCol w:w="47"/>
        <w:gridCol w:w="7647"/>
        <w:gridCol w:w="1271"/>
        <w:gridCol w:w="2138"/>
      </w:tblGrid>
      <w:tr w:rsidR="00BB480F" w:rsidRPr="004B77AE" w14:paraId="4E711D87" w14:textId="77777777" w:rsidTr="00092477">
        <w:tc>
          <w:tcPr>
            <w:tcW w:w="1093" w:type="dxa"/>
            <w:shd w:val="clear" w:color="auto" w:fill="BDDEFF" w:themeFill="accent1" w:themeFillTint="33"/>
            <w:vAlign w:val="center"/>
          </w:tcPr>
          <w:p w14:paraId="46DD6274" w14:textId="77777777" w:rsidR="00BB480F" w:rsidRPr="004B77AE" w:rsidRDefault="00BB480F" w:rsidP="00092477">
            <w:pPr>
              <w:jc w:val="center"/>
              <w:rPr>
                <w:rFonts w:cs="Arial"/>
                <w:b/>
              </w:rPr>
            </w:pPr>
            <w:r w:rsidRPr="004B77AE">
              <w:rPr>
                <w:rFonts w:cs="Arial"/>
                <w:b/>
              </w:rPr>
              <w:lastRenderedPageBreak/>
              <w:t>Domain</w:t>
            </w:r>
          </w:p>
        </w:tc>
        <w:tc>
          <w:tcPr>
            <w:tcW w:w="3250" w:type="dxa"/>
            <w:gridSpan w:val="2"/>
            <w:shd w:val="clear" w:color="auto" w:fill="BDDEFF" w:themeFill="accent1" w:themeFillTint="33"/>
            <w:vAlign w:val="center"/>
          </w:tcPr>
          <w:p w14:paraId="3616CA97" w14:textId="77777777" w:rsidR="00BB480F" w:rsidRPr="004B77AE" w:rsidRDefault="00BB480F" w:rsidP="00092477">
            <w:pPr>
              <w:jc w:val="center"/>
              <w:rPr>
                <w:rFonts w:cs="Arial"/>
                <w:b/>
              </w:rPr>
            </w:pPr>
            <w:r w:rsidRPr="004B77AE">
              <w:rPr>
                <w:rFonts w:cs="Arial"/>
                <w:b/>
              </w:rPr>
              <w:t>Outcome</w:t>
            </w:r>
          </w:p>
        </w:tc>
        <w:tc>
          <w:tcPr>
            <w:tcW w:w="7694" w:type="dxa"/>
            <w:gridSpan w:val="2"/>
            <w:shd w:val="clear" w:color="auto" w:fill="BDDEFF" w:themeFill="accent1" w:themeFillTint="33"/>
            <w:vAlign w:val="center"/>
          </w:tcPr>
          <w:p w14:paraId="2366E384" w14:textId="40CC382A" w:rsidR="00BB480F" w:rsidRPr="004B77AE" w:rsidRDefault="00BB480F" w:rsidP="00092477">
            <w:pPr>
              <w:jc w:val="center"/>
              <w:rPr>
                <w:rFonts w:cs="Arial"/>
                <w:b/>
              </w:rPr>
            </w:pPr>
            <w:r w:rsidRPr="004B77AE">
              <w:rPr>
                <w:rFonts w:cs="Arial"/>
                <w:b/>
              </w:rPr>
              <w:t>Evidence</w:t>
            </w:r>
          </w:p>
        </w:tc>
        <w:tc>
          <w:tcPr>
            <w:tcW w:w="1271" w:type="dxa"/>
            <w:shd w:val="clear" w:color="auto" w:fill="BDDEFF" w:themeFill="accent1" w:themeFillTint="33"/>
            <w:vAlign w:val="center"/>
          </w:tcPr>
          <w:p w14:paraId="3D32FE91" w14:textId="77777777" w:rsidR="00BB480F" w:rsidRPr="004B77AE" w:rsidRDefault="00BB480F" w:rsidP="00092477">
            <w:pPr>
              <w:jc w:val="center"/>
              <w:rPr>
                <w:rFonts w:cs="Arial"/>
                <w:b/>
              </w:rPr>
            </w:pPr>
            <w:r w:rsidRPr="004B77AE">
              <w:rPr>
                <w:rFonts w:cs="Arial"/>
                <w:b/>
              </w:rPr>
              <w:t>Rating</w:t>
            </w:r>
          </w:p>
        </w:tc>
        <w:tc>
          <w:tcPr>
            <w:tcW w:w="2138" w:type="dxa"/>
            <w:shd w:val="clear" w:color="auto" w:fill="BDDEFF" w:themeFill="accent1" w:themeFillTint="33"/>
            <w:vAlign w:val="center"/>
          </w:tcPr>
          <w:p w14:paraId="685CE2AE" w14:textId="77777777" w:rsidR="00BB480F" w:rsidRPr="004B77AE" w:rsidRDefault="00BB480F" w:rsidP="00092477">
            <w:pPr>
              <w:jc w:val="center"/>
              <w:rPr>
                <w:rFonts w:cs="Arial"/>
                <w:b/>
              </w:rPr>
            </w:pPr>
            <w:r w:rsidRPr="004B77AE">
              <w:rPr>
                <w:rFonts w:cs="Arial"/>
                <w:b/>
              </w:rPr>
              <w:t>Owner (Dept/Lead)</w:t>
            </w:r>
          </w:p>
        </w:tc>
      </w:tr>
      <w:tr w:rsidR="00940F03" w:rsidRPr="004B77AE" w14:paraId="2A87D372" w14:textId="77777777" w:rsidTr="00092477">
        <w:trPr>
          <w:cantSplit/>
          <w:trHeight w:val="1134"/>
        </w:trPr>
        <w:tc>
          <w:tcPr>
            <w:tcW w:w="1093" w:type="dxa"/>
            <w:shd w:val="clear" w:color="auto" w:fill="BDDEFF" w:themeFill="accent1" w:themeFillTint="33"/>
            <w:textDirection w:val="btLr"/>
            <w:vAlign w:val="center"/>
          </w:tcPr>
          <w:p w14:paraId="6486A898" w14:textId="77777777" w:rsidR="00940F03" w:rsidRPr="00C76139" w:rsidRDefault="00940F03" w:rsidP="00092477">
            <w:pPr>
              <w:jc w:val="center"/>
              <w:rPr>
                <w:rFonts w:cs="Arial"/>
                <w:b/>
                <w:sz w:val="32"/>
                <w:szCs w:val="32"/>
              </w:rPr>
            </w:pPr>
            <w:r w:rsidRPr="00C76139">
              <w:rPr>
                <w:rFonts w:cs="Arial"/>
                <w:b/>
                <w:sz w:val="32"/>
                <w:szCs w:val="32"/>
              </w:rPr>
              <w:t xml:space="preserve">Domain 1: Commissioned or provided </w:t>
            </w:r>
            <w:proofErr w:type="gramStart"/>
            <w:r w:rsidRPr="00C76139">
              <w:rPr>
                <w:rFonts w:cs="Arial"/>
                <w:b/>
                <w:sz w:val="32"/>
                <w:szCs w:val="32"/>
              </w:rPr>
              <w:t>services</w:t>
            </w:r>
            <w:proofErr w:type="gramEnd"/>
          </w:p>
          <w:p w14:paraId="1CFEC648" w14:textId="77777777" w:rsidR="00940F03" w:rsidRPr="00C76139" w:rsidRDefault="00940F03" w:rsidP="00092477">
            <w:pPr>
              <w:ind w:left="113" w:right="113"/>
              <w:jc w:val="center"/>
              <w:rPr>
                <w:rFonts w:cs="Arial"/>
              </w:rPr>
            </w:pPr>
          </w:p>
        </w:tc>
        <w:tc>
          <w:tcPr>
            <w:tcW w:w="3250" w:type="dxa"/>
            <w:gridSpan w:val="2"/>
            <w:shd w:val="clear" w:color="auto" w:fill="BDDEFF" w:themeFill="accent1" w:themeFillTint="33"/>
            <w:vAlign w:val="center"/>
          </w:tcPr>
          <w:p w14:paraId="750983AE" w14:textId="0CFE3BBE" w:rsidR="00940F03" w:rsidRPr="00C76139" w:rsidRDefault="00940F03" w:rsidP="00092477">
            <w:pPr>
              <w:rPr>
                <w:rFonts w:cs="Arial"/>
                <w:b/>
              </w:rPr>
            </w:pPr>
            <w:r w:rsidRPr="00C76139">
              <w:rPr>
                <w:rFonts w:cs="Arial"/>
              </w:rPr>
              <w:t xml:space="preserve">1A: </w:t>
            </w:r>
            <w:r w:rsidRPr="00C76139">
              <w:rPr>
                <w:rFonts w:cs="Arial"/>
                <w:bCs/>
              </w:rPr>
              <w:t>Patients (service users) have required levels of access to the service</w:t>
            </w:r>
          </w:p>
        </w:tc>
        <w:tc>
          <w:tcPr>
            <w:tcW w:w="7694" w:type="dxa"/>
            <w:gridSpan w:val="2"/>
          </w:tcPr>
          <w:p w14:paraId="10A1C041" w14:textId="77777777" w:rsidR="00176A34" w:rsidRPr="00C76139" w:rsidRDefault="00176A34" w:rsidP="00092477">
            <w:pPr>
              <w:pStyle w:val="TableText"/>
              <w:rPr>
                <w:rFonts w:cs="Arial"/>
                <w:b/>
                <w:bCs/>
              </w:rPr>
            </w:pPr>
            <w:r w:rsidRPr="00C76139">
              <w:rPr>
                <w:rFonts w:cs="Arial"/>
                <w:b/>
                <w:bCs/>
              </w:rPr>
              <w:t>General</w:t>
            </w:r>
          </w:p>
          <w:p w14:paraId="28592A6C" w14:textId="77777777" w:rsidR="00176A34" w:rsidRPr="00C76139" w:rsidRDefault="00176A34" w:rsidP="00092477">
            <w:pPr>
              <w:pStyle w:val="TableText"/>
              <w:rPr>
                <w:rFonts w:cs="Arial"/>
              </w:rPr>
            </w:pPr>
            <w:r w:rsidRPr="00C76139">
              <w:rPr>
                <w:rFonts w:cs="Arial"/>
              </w:rPr>
              <w:t>Access to services is monitored across all commissioned services through KPIs which are overseen at the ICB performance committee.</w:t>
            </w:r>
          </w:p>
          <w:p w14:paraId="7FBD3C89" w14:textId="77777777" w:rsidR="00176A34" w:rsidRPr="00C76139" w:rsidRDefault="00176A34" w:rsidP="00092477">
            <w:pPr>
              <w:pStyle w:val="TableText"/>
              <w:rPr>
                <w:rFonts w:cs="Arial"/>
              </w:rPr>
            </w:pPr>
            <w:r w:rsidRPr="00C76139">
              <w:rPr>
                <w:rFonts w:cs="Arial"/>
              </w:rPr>
              <w:t>Strategic Planning and Integration Committee oversees the commissioning, reconfiguration and development of services giving due regard to the strategic plans and delivering the objectives of the Nottingham and Nottinghamshire Joint Forward Plan which outline actions to ensure equitable access to services across the system.</w:t>
            </w:r>
          </w:p>
          <w:p w14:paraId="19C842AB" w14:textId="77777777" w:rsidR="00176A34" w:rsidRPr="00C76139" w:rsidRDefault="00176A34" w:rsidP="00092477">
            <w:pPr>
              <w:pStyle w:val="TableText"/>
              <w:rPr>
                <w:rFonts w:cs="Arial"/>
              </w:rPr>
            </w:pPr>
          </w:p>
          <w:p w14:paraId="178F5AFC" w14:textId="4F38F07B" w:rsidR="00176A34" w:rsidRPr="00C76139" w:rsidRDefault="00176A34" w:rsidP="00092477">
            <w:pPr>
              <w:pStyle w:val="TableText"/>
              <w:rPr>
                <w:rFonts w:cs="Arial"/>
                <w:b/>
                <w:bCs/>
              </w:rPr>
            </w:pPr>
            <w:r w:rsidRPr="00C76139">
              <w:rPr>
                <w:rFonts w:cs="Arial"/>
              </w:rPr>
              <w:t xml:space="preserve">Barriers to accessing services are overcome with </w:t>
            </w:r>
            <w:proofErr w:type="gramStart"/>
            <w:r w:rsidRPr="00C76139">
              <w:rPr>
                <w:rFonts w:cs="Arial"/>
              </w:rPr>
              <w:t>place based</w:t>
            </w:r>
            <w:proofErr w:type="gramEnd"/>
            <w:r w:rsidRPr="00C76139">
              <w:rPr>
                <w:rFonts w:cs="Arial"/>
              </w:rPr>
              <w:t xml:space="preserve"> partners on a community/neighbourhood levels. An excellent example of this is the City Place Based Partnership Race Equity Matrix, which is used across commissioning organisation to ensure that access for Black and Asian Communities in Nottingham City are tailored to the needs of local communities. This matrix promotes culturally competent service design.</w:t>
            </w:r>
          </w:p>
          <w:p w14:paraId="193E10E6" w14:textId="77777777" w:rsidR="00176A34" w:rsidRPr="00C76139" w:rsidRDefault="00176A34" w:rsidP="00092477">
            <w:pPr>
              <w:pStyle w:val="TableText"/>
              <w:rPr>
                <w:rFonts w:cs="Arial"/>
                <w:b/>
                <w:bCs/>
              </w:rPr>
            </w:pPr>
          </w:p>
          <w:p w14:paraId="5B4FA03E" w14:textId="77777777" w:rsidR="004A3123" w:rsidRPr="00C76139" w:rsidRDefault="00F66A14" w:rsidP="00092477">
            <w:pPr>
              <w:pStyle w:val="TableText"/>
              <w:rPr>
                <w:rFonts w:cs="Arial"/>
                <w:b/>
                <w:bCs/>
              </w:rPr>
            </w:pPr>
            <w:r w:rsidRPr="00C76139">
              <w:rPr>
                <w:rFonts w:cs="Arial"/>
                <w:b/>
                <w:bCs/>
              </w:rPr>
              <w:t>Service 1 – Talking Therapies</w:t>
            </w:r>
          </w:p>
          <w:p w14:paraId="35C51A13" w14:textId="09A00795" w:rsidR="00327FD4" w:rsidRPr="00C76139" w:rsidRDefault="00327FD4" w:rsidP="00092477">
            <w:pPr>
              <w:pStyle w:val="TableText"/>
              <w:rPr>
                <w:rFonts w:cs="Arial"/>
              </w:rPr>
            </w:pPr>
            <w:r w:rsidRPr="00C76139">
              <w:rPr>
                <w:rFonts w:cs="Arial"/>
              </w:rPr>
              <w:t>The service has an operating model of either telephone or face-to-face appointments.</w:t>
            </w:r>
            <w:r w:rsidR="004376B7" w:rsidRPr="00C76139">
              <w:rPr>
                <w:rFonts w:cs="Arial"/>
              </w:rPr>
              <w:t xml:space="preserve"> The service has access to interpretation through a </w:t>
            </w:r>
            <w:r w:rsidR="00087279" w:rsidRPr="00C76139">
              <w:rPr>
                <w:rFonts w:cs="Arial"/>
              </w:rPr>
              <w:t>third-party</w:t>
            </w:r>
            <w:r w:rsidR="004376B7" w:rsidRPr="00C76139">
              <w:rPr>
                <w:rFonts w:cs="Arial"/>
              </w:rPr>
              <w:t xml:space="preserve"> provider to support those whose first language isn’t spoken English. The service prioritises referrals linked to perinatal women and </w:t>
            </w:r>
            <w:r w:rsidR="00080856" w:rsidRPr="00C76139">
              <w:rPr>
                <w:rFonts w:cs="Arial"/>
              </w:rPr>
              <w:t>people and is a member of the Perinatal Mental Health Steering Group in Nottinghamshire.</w:t>
            </w:r>
          </w:p>
          <w:p w14:paraId="035604CE" w14:textId="77777777" w:rsidR="00E45931" w:rsidRPr="00C76139" w:rsidRDefault="00E45931" w:rsidP="00092477">
            <w:pPr>
              <w:pStyle w:val="TableText"/>
              <w:rPr>
                <w:rFonts w:cs="Arial"/>
              </w:rPr>
            </w:pPr>
          </w:p>
          <w:p w14:paraId="25046D9B" w14:textId="0B3C1134" w:rsidR="00E45931" w:rsidRPr="00C76139" w:rsidRDefault="00E45931" w:rsidP="00092477">
            <w:pPr>
              <w:pStyle w:val="TableText"/>
              <w:rPr>
                <w:rFonts w:cs="Arial"/>
              </w:rPr>
            </w:pPr>
            <w:r w:rsidRPr="00C76139">
              <w:rPr>
                <w:rFonts w:cs="Arial"/>
              </w:rPr>
              <w:t xml:space="preserve">We have commissioned Sigh Health, a nationally commissioned Talking Therapies </w:t>
            </w:r>
            <w:r w:rsidR="0081533B" w:rsidRPr="00C76139">
              <w:rPr>
                <w:rFonts w:cs="Arial"/>
              </w:rPr>
              <w:t>provider for d/Deaf patients who require Talking Therapies through BSL.</w:t>
            </w:r>
          </w:p>
          <w:p w14:paraId="183A253C" w14:textId="77777777" w:rsidR="00A2502C" w:rsidRPr="00C76139" w:rsidRDefault="00A2502C" w:rsidP="00092477">
            <w:pPr>
              <w:pStyle w:val="TableText"/>
              <w:rPr>
                <w:rFonts w:cs="Arial"/>
              </w:rPr>
            </w:pPr>
          </w:p>
          <w:p w14:paraId="5617A6A4" w14:textId="77777777" w:rsidR="00A2502C" w:rsidRPr="00C76139" w:rsidRDefault="00A2502C" w:rsidP="00092477">
            <w:pPr>
              <w:pStyle w:val="TableText"/>
              <w:rPr>
                <w:rFonts w:cs="Arial"/>
              </w:rPr>
            </w:pPr>
            <w:r w:rsidRPr="00C76139">
              <w:rPr>
                <w:rFonts w:cs="Arial"/>
              </w:rPr>
              <w:t xml:space="preserve">National 6- and 18-week waiting time targets continue to be met by the new service. Waiting times for assessment are currently (November </w:t>
            </w:r>
            <w:r w:rsidRPr="00C76139">
              <w:rPr>
                <w:rFonts w:cs="Arial"/>
              </w:rPr>
              <w:lastRenderedPageBreak/>
              <w:t>2023) and average of 11 days. The national standard for waits for 2</w:t>
            </w:r>
            <w:r w:rsidRPr="00C76139">
              <w:rPr>
                <w:rFonts w:cs="Arial"/>
                <w:vertAlign w:val="superscript"/>
              </w:rPr>
              <w:t>nd</w:t>
            </w:r>
            <w:r w:rsidRPr="00C76139">
              <w:rPr>
                <w:rFonts w:cs="Arial"/>
              </w:rPr>
              <w:t xml:space="preserve"> appointment have not been met since April 2022 but the new service is working to recover this by end of Q4 2023/24 and maintain no more than 10% of patients waiting over 90 days between 1</w:t>
            </w:r>
            <w:r w:rsidRPr="00C76139">
              <w:rPr>
                <w:rFonts w:cs="Arial"/>
                <w:vertAlign w:val="superscript"/>
              </w:rPr>
              <w:t>st</w:t>
            </w:r>
            <w:r w:rsidRPr="00C76139">
              <w:rPr>
                <w:rFonts w:cs="Arial"/>
              </w:rPr>
              <w:t xml:space="preserve"> and 2</w:t>
            </w:r>
            <w:r w:rsidRPr="00C76139">
              <w:rPr>
                <w:rFonts w:cs="Arial"/>
                <w:vertAlign w:val="superscript"/>
              </w:rPr>
              <w:t>nd</w:t>
            </w:r>
            <w:r w:rsidRPr="00C76139">
              <w:rPr>
                <w:rFonts w:cs="Arial"/>
              </w:rPr>
              <w:t xml:space="preserve"> appointment. This has been impacted by the inherited long waiters and by a slow move to a true stepped care model, requiring training and a culture change within the workforce. A recovery action plan is in place and assurance provided to commissioners and NHS England.</w:t>
            </w:r>
          </w:p>
          <w:p w14:paraId="2BD47A39" w14:textId="77777777" w:rsidR="00D366B3" w:rsidRPr="00C76139" w:rsidRDefault="00D366B3" w:rsidP="00092477">
            <w:pPr>
              <w:pStyle w:val="TableText"/>
              <w:rPr>
                <w:rFonts w:cs="Arial"/>
              </w:rPr>
            </w:pPr>
          </w:p>
          <w:p w14:paraId="63B94D13" w14:textId="77777777" w:rsidR="00D366B3" w:rsidRDefault="00D366B3" w:rsidP="00092477">
            <w:pPr>
              <w:pStyle w:val="TableText"/>
              <w:rPr>
                <w:rFonts w:cs="Arial"/>
              </w:rPr>
            </w:pPr>
            <w:r w:rsidRPr="00C76139">
              <w:rPr>
                <w:rFonts w:cs="Arial"/>
              </w:rPr>
              <w:t>The service will have a positive impact on increasing access and improving outcomes for a range of under-served people and groups. There is a national requirement to increase access to NHS Talking Therapies for BAME groups, older adults, 18-25s and people with Long Term Conditions. There is also a national requirement to improve outcomes for BAME communities and bring them in line with their white British counterparts. Locally the service is also focussed on LGBTQ+ people and men.</w:t>
            </w:r>
          </w:p>
          <w:p w14:paraId="1879F51E" w14:textId="77777777" w:rsidR="0095676B" w:rsidRDefault="0095676B" w:rsidP="00092477">
            <w:pPr>
              <w:pStyle w:val="TableText"/>
              <w:rPr>
                <w:rFonts w:cs="Arial"/>
              </w:rPr>
            </w:pPr>
          </w:p>
          <w:p w14:paraId="09A54458" w14:textId="12A6EF31" w:rsidR="0095676B" w:rsidRPr="00C76139" w:rsidRDefault="0095676B" w:rsidP="00092477">
            <w:pPr>
              <w:pStyle w:val="TableText"/>
              <w:rPr>
                <w:rFonts w:cs="Arial"/>
              </w:rPr>
            </w:pPr>
            <w:r>
              <w:rPr>
                <w:rFonts w:cs="Arial"/>
              </w:rPr>
              <w:t xml:space="preserve">During the first 6 months of the new service, all target populations have remained the same </w:t>
            </w:r>
            <w:proofErr w:type="gramStart"/>
            <w:r>
              <w:rPr>
                <w:rFonts w:cs="Arial"/>
              </w:rPr>
              <w:t>with the exception of</w:t>
            </w:r>
            <w:proofErr w:type="gramEnd"/>
            <w:r>
              <w:rPr>
                <w:rFonts w:cs="Arial"/>
              </w:rPr>
              <w:t xml:space="preserve"> a reduction of 18 – 25s, compared to the Q4 2022/23 table in </w:t>
            </w:r>
            <w:r>
              <w:rPr>
                <w:rFonts w:cs="Arial"/>
              </w:rPr>
              <w:fldChar w:fldCharType="begin"/>
            </w:r>
            <w:r>
              <w:rPr>
                <w:rFonts w:cs="Arial"/>
              </w:rPr>
              <w:instrText xml:space="preserve"> REF _Ref166833917 \h </w:instrText>
            </w:r>
            <w:r>
              <w:rPr>
                <w:rFonts w:cs="Arial"/>
              </w:rPr>
            </w:r>
            <w:r>
              <w:rPr>
                <w:rFonts w:cs="Arial"/>
              </w:rPr>
              <w:fldChar w:fldCharType="separate"/>
            </w:r>
            <w:r w:rsidRPr="002B7F40">
              <w:t>5.1</w:t>
            </w:r>
            <w:r>
              <w:tab/>
            </w:r>
            <w:r w:rsidRPr="002B7F40">
              <w:t xml:space="preserve"> D</w:t>
            </w:r>
            <w:r w:rsidRPr="002B7F40">
              <w:t>o</w:t>
            </w:r>
            <w:r w:rsidRPr="002B7F40">
              <w:t>main 1: Commissioned or provided services</w:t>
            </w:r>
            <w:r>
              <w:rPr>
                <w:rFonts w:cs="Arial"/>
              </w:rPr>
              <w:fldChar w:fldCharType="end"/>
            </w:r>
          </w:p>
          <w:p w14:paraId="1723B784" w14:textId="77777777" w:rsidR="00F66A14" w:rsidRPr="00C76139" w:rsidRDefault="00F66A14" w:rsidP="00092477">
            <w:pPr>
              <w:pStyle w:val="TableText"/>
              <w:rPr>
                <w:rFonts w:cs="Arial"/>
              </w:rPr>
            </w:pPr>
          </w:p>
          <w:p w14:paraId="1B19CBD6" w14:textId="76183AE0" w:rsidR="00F66A14" w:rsidRPr="00C76139" w:rsidRDefault="00F66A14" w:rsidP="00092477">
            <w:pPr>
              <w:pStyle w:val="TableText"/>
              <w:rPr>
                <w:rFonts w:cs="Arial"/>
              </w:rPr>
            </w:pPr>
            <w:r w:rsidRPr="00C76139">
              <w:rPr>
                <w:rFonts w:cs="Arial"/>
                <w:b/>
                <w:bCs/>
              </w:rPr>
              <w:t>Service 2 – Home Enteral Feeding and Dietetics Service</w:t>
            </w:r>
            <w:r w:rsidR="00BA7E91" w:rsidRPr="00C76139">
              <w:rPr>
                <w:rFonts w:cs="Arial"/>
                <w:b/>
                <w:bCs/>
              </w:rPr>
              <w:t xml:space="preserve"> </w:t>
            </w:r>
          </w:p>
          <w:p w14:paraId="104F1BA2" w14:textId="4C6F1697" w:rsidR="00C81115" w:rsidRPr="00C76139" w:rsidRDefault="00C81115" w:rsidP="00092477">
            <w:pPr>
              <w:pStyle w:val="TableText"/>
              <w:rPr>
                <w:rFonts w:cs="Arial"/>
              </w:rPr>
            </w:pPr>
            <w:r w:rsidRPr="00C76139">
              <w:rPr>
                <w:rFonts w:cs="Arial"/>
              </w:rPr>
              <w:t xml:space="preserve">The current interim provision has been in place for a total of 18 months, the only change being a move from the PCN to </w:t>
            </w:r>
            <w:r w:rsidR="00796318" w:rsidRPr="00C76139">
              <w:rPr>
                <w:rFonts w:cs="Arial"/>
              </w:rPr>
              <w:t>[redacted]</w:t>
            </w:r>
            <w:r w:rsidRPr="00C76139">
              <w:rPr>
                <w:rFonts w:cs="Arial"/>
              </w:rPr>
              <w:t>. The dietitian providing the service has not changed.</w:t>
            </w:r>
          </w:p>
          <w:p w14:paraId="45E3C668" w14:textId="77777777" w:rsidR="00C81115" w:rsidRPr="00C76139" w:rsidRDefault="00C81115" w:rsidP="00441BD5">
            <w:pPr>
              <w:pStyle w:val="TableText"/>
              <w:numPr>
                <w:ilvl w:val="0"/>
                <w:numId w:val="16"/>
              </w:numPr>
              <w:rPr>
                <w:rFonts w:cs="Arial"/>
              </w:rPr>
            </w:pPr>
            <w:r w:rsidRPr="00C76139">
              <w:rPr>
                <w:rFonts w:cs="Arial"/>
                <w:b/>
                <w:bCs/>
              </w:rPr>
              <w:t>Location</w:t>
            </w:r>
            <w:r w:rsidRPr="00C76139">
              <w:rPr>
                <w:rFonts w:cs="Arial"/>
              </w:rPr>
              <w:t>: Bassetlaw.</w:t>
            </w:r>
          </w:p>
          <w:p w14:paraId="4E3F523B" w14:textId="77777777" w:rsidR="00C81115" w:rsidRPr="00C76139" w:rsidRDefault="00C81115" w:rsidP="00441BD5">
            <w:pPr>
              <w:pStyle w:val="TableText"/>
              <w:numPr>
                <w:ilvl w:val="0"/>
                <w:numId w:val="16"/>
              </w:numPr>
              <w:rPr>
                <w:rFonts w:cs="Arial"/>
              </w:rPr>
            </w:pPr>
            <w:r w:rsidRPr="00C76139">
              <w:rPr>
                <w:rFonts w:cs="Arial"/>
                <w:b/>
                <w:bCs/>
              </w:rPr>
              <w:t>Service Criteria</w:t>
            </w:r>
            <w:r w:rsidRPr="00C76139">
              <w:rPr>
                <w:rFonts w:cs="Arial"/>
              </w:rPr>
              <w:t>: Adults aged 18+ ordinarily resident within Bassetlaw and registered with a Bassetlaw GP receiving home enteral feeding or score 2 or more on the Malnutrition Universal Screening Tool (MUST) indicating a referral through ‘</w:t>
            </w:r>
            <w:hyperlink r:id="rId18" w:history="1">
              <w:r w:rsidRPr="00C76139">
                <w:rPr>
                  <w:rStyle w:val="Hyperlink"/>
                  <w:rFonts w:cs="Arial"/>
                </w:rPr>
                <w:t>REACT to malnutrition and dehydration</w:t>
              </w:r>
            </w:hyperlink>
            <w:r w:rsidRPr="00C76139">
              <w:rPr>
                <w:rFonts w:cs="Arial"/>
              </w:rPr>
              <w:t xml:space="preserve">’ a scheme created and managed by </w:t>
            </w:r>
            <w:r w:rsidRPr="00C76139">
              <w:rPr>
                <w:rFonts w:cs="Arial"/>
              </w:rPr>
              <w:lastRenderedPageBreak/>
              <w:t>Doncaster and Bassetlaw Dietetic Team. Blocked PEGs/issues with tubes are manged by Homeward Nurse/GP/A&amp;E.</w:t>
            </w:r>
          </w:p>
          <w:p w14:paraId="6E428217" w14:textId="77777777" w:rsidR="00C81115" w:rsidRPr="00C76139" w:rsidRDefault="00C81115" w:rsidP="00441BD5">
            <w:pPr>
              <w:pStyle w:val="TableText"/>
              <w:numPr>
                <w:ilvl w:val="0"/>
                <w:numId w:val="16"/>
              </w:numPr>
              <w:rPr>
                <w:rFonts w:cs="Arial"/>
              </w:rPr>
            </w:pPr>
            <w:r w:rsidRPr="00C76139">
              <w:rPr>
                <w:rFonts w:cs="Arial"/>
                <w:b/>
                <w:bCs/>
              </w:rPr>
              <w:t>Exclusions</w:t>
            </w:r>
            <w:r w:rsidRPr="00C76139">
              <w:rPr>
                <w:rFonts w:cs="Arial"/>
              </w:rPr>
              <w:t>: Children &amp; YP and those individuals scoring less than 2 on the Malnutrition Universal Screening Tool (MUST). Blockages and issues with tubes. Self-referrals are not accepted into the service.</w:t>
            </w:r>
          </w:p>
          <w:p w14:paraId="08859256" w14:textId="77777777" w:rsidR="00C81115" w:rsidRPr="00C76139" w:rsidRDefault="00C81115" w:rsidP="00441BD5">
            <w:pPr>
              <w:pStyle w:val="TableText"/>
              <w:numPr>
                <w:ilvl w:val="0"/>
                <w:numId w:val="16"/>
              </w:numPr>
              <w:rPr>
                <w:rFonts w:cs="Arial"/>
              </w:rPr>
            </w:pPr>
            <w:r w:rsidRPr="00C76139">
              <w:rPr>
                <w:rFonts w:cs="Arial"/>
                <w:b/>
                <w:bCs/>
              </w:rPr>
              <w:t>Hours</w:t>
            </w:r>
            <w:r w:rsidRPr="00C76139">
              <w:rPr>
                <w:rFonts w:cs="Arial"/>
              </w:rPr>
              <w:t>: 0800-1600 (Mon/Tue/Thu/Fri) 30Hrs Band 7</w:t>
            </w:r>
          </w:p>
          <w:p w14:paraId="074BA8F7" w14:textId="77777777" w:rsidR="00C81115" w:rsidRPr="00C76139" w:rsidRDefault="00C81115" w:rsidP="00441BD5">
            <w:pPr>
              <w:pStyle w:val="TableText"/>
              <w:numPr>
                <w:ilvl w:val="0"/>
                <w:numId w:val="16"/>
              </w:numPr>
              <w:rPr>
                <w:rFonts w:cs="Arial"/>
              </w:rPr>
            </w:pPr>
            <w:r w:rsidRPr="00C76139">
              <w:rPr>
                <w:rFonts w:cs="Arial"/>
                <w:b/>
                <w:bCs/>
              </w:rPr>
              <w:t>Out of Hours</w:t>
            </w:r>
            <w:r w:rsidRPr="00C76139">
              <w:rPr>
                <w:rFonts w:cs="Arial"/>
              </w:rPr>
              <w:t xml:space="preserve">: A&amp;E. </w:t>
            </w:r>
          </w:p>
          <w:p w14:paraId="1468D74C" w14:textId="77777777" w:rsidR="00F66A14" w:rsidRPr="00C76139" w:rsidRDefault="00F66A14" w:rsidP="00092477">
            <w:pPr>
              <w:pStyle w:val="TableText"/>
              <w:rPr>
                <w:rFonts w:cs="Arial"/>
              </w:rPr>
            </w:pPr>
          </w:p>
          <w:p w14:paraId="018C82E5" w14:textId="0C26834F" w:rsidR="00C81115" w:rsidRPr="00C76139" w:rsidRDefault="00C81115" w:rsidP="00092477">
            <w:pPr>
              <w:pStyle w:val="TableText"/>
              <w:rPr>
                <w:rFonts w:cs="Arial"/>
              </w:rPr>
            </w:pPr>
            <w:r w:rsidRPr="00C76139">
              <w:rPr>
                <w:rFonts w:cs="Arial"/>
              </w:rPr>
              <w:t xml:space="preserve">The EQIA </w:t>
            </w:r>
            <w:r w:rsidR="0092186A" w:rsidRPr="00C76139">
              <w:rPr>
                <w:rFonts w:cs="Arial"/>
              </w:rPr>
              <w:t xml:space="preserve">proposed a direct award </w:t>
            </w:r>
            <w:r w:rsidR="00996F3B" w:rsidRPr="00C76139">
              <w:rPr>
                <w:rFonts w:cs="Arial"/>
              </w:rPr>
              <w:t>[redacted]</w:t>
            </w:r>
            <w:r w:rsidR="0092186A" w:rsidRPr="00C76139">
              <w:rPr>
                <w:rFonts w:cs="Arial"/>
              </w:rPr>
              <w:t xml:space="preserve"> in Bassetlaw for 24 months. Future service delivery of the whole Nottingham &amp; Nottinghamshire HEFT/non-tube fed Dietetics Service will be informed by the outcome of the review of the ICS HEFT/non-tube fed Dietetic services. This will be taken via SCRG for approval on 1 Feb 2024 prior to the current provision expiry of 31 March 2024.</w:t>
            </w:r>
          </w:p>
          <w:p w14:paraId="29A3329C" w14:textId="77777777" w:rsidR="00F66A14" w:rsidRPr="00C76139" w:rsidRDefault="00F66A14" w:rsidP="00092477">
            <w:pPr>
              <w:pStyle w:val="TableText"/>
              <w:rPr>
                <w:rFonts w:cs="Arial"/>
              </w:rPr>
            </w:pPr>
          </w:p>
          <w:p w14:paraId="19E56ADD" w14:textId="12AD28D9" w:rsidR="00F66A14" w:rsidRPr="00C76139" w:rsidRDefault="00F66A14" w:rsidP="00092477">
            <w:pPr>
              <w:pStyle w:val="TableText"/>
              <w:rPr>
                <w:rFonts w:cs="Arial"/>
              </w:rPr>
            </w:pPr>
            <w:r w:rsidRPr="00C76139">
              <w:rPr>
                <w:rFonts w:cs="Arial"/>
                <w:b/>
                <w:bCs/>
              </w:rPr>
              <w:t>Service 3 – Commissioning P3 Beds in Care and Nursing Homes</w:t>
            </w:r>
            <w:r w:rsidR="00BA7E91" w:rsidRPr="00C76139">
              <w:rPr>
                <w:rFonts w:cs="Arial"/>
                <w:b/>
                <w:bCs/>
              </w:rPr>
              <w:t xml:space="preserve"> </w:t>
            </w:r>
          </w:p>
          <w:p w14:paraId="090DAE03" w14:textId="4280E2A3" w:rsidR="00A2502C" w:rsidRPr="00C76139" w:rsidRDefault="000762F8" w:rsidP="00092477">
            <w:pPr>
              <w:pStyle w:val="TableText"/>
              <w:rPr>
                <w:rFonts w:cs="Arial"/>
              </w:rPr>
            </w:pPr>
            <w:r w:rsidRPr="00C76139">
              <w:rPr>
                <w:rFonts w:cs="Arial"/>
              </w:rPr>
              <w:t xml:space="preserve">The proposed change is to direct award 18 P3 discharge to assess beds. The P3 beds will be split between north and south. North </w:t>
            </w:r>
            <w:r w:rsidR="00226B28" w:rsidRPr="00C76139">
              <w:rPr>
                <w:rFonts w:cs="Arial"/>
              </w:rPr>
              <w:t>N</w:t>
            </w:r>
            <w:r w:rsidRPr="00C76139">
              <w:rPr>
                <w:rFonts w:cs="Arial"/>
              </w:rPr>
              <w:t>otts (mid and Bassetlaw) will be given 13 beds and the south will be given 5 as they already have 10 from a current contract. Modelling has shown the ICB needed 28 beds across the system.</w:t>
            </w:r>
            <w:r w:rsidR="00AC067D" w:rsidRPr="00C76139">
              <w:rPr>
                <w:rFonts w:cs="Arial"/>
              </w:rPr>
              <w:t xml:space="preserve"> The provision designed therefore meets the need for access and provides additional flexibility to expand or contract to meet </w:t>
            </w:r>
            <w:proofErr w:type="gramStart"/>
            <w:r w:rsidR="00AC067D" w:rsidRPr="00C76139">
              <w:rPr>
                <w:rFonts w:cs="Arial"/>
              </w:rPr>
              <w:t>place based</w:t>
            </w:r>
            <w:proofErr w:type="gramEnd"/>
            <w:r w:rsidR="00AC067D" w:rsidRPr="00C76139">
              <w:rPr>
                <w:rFonts w:cs="Arial"/>
              </w:rPr>
              <w:t xml:space="preserve"> need.</w:t>
            </w:r>
          </w:p>
        </w:tc>
        <w:tc>
          <w:tcPr>
            <w:tcW w:w="1271" w:type="dxa"/>
            <w:shd w:val="clear" w:color="auto" w:fill="B7FFD2" w:themeFill="accent5" w:themeFillTint="33"/>
            <w:vAlign w:val="center"/>
          </w:tcPr>
          <w:p w14:paraId="0E28406C" w14:textId="510C3710" w:rsidR="00940F03" w:rsidRPr="00C76139" w:rsidRDefault="00BF73DF" w:rsidP="00092477">
            <w:pPr>
              <w:pStyle w:val="TableText"/>
              <w:jc w:val="center"/>
              <w:rPr>
                <w:rFonts w:cs="Arial"/>
                <w:b/>
                <w:bCs/>
                <w:sz w:val="36"/>
                <w:szCs w:val="36"/>
              </w:rPr>
            </w:pPr>
            <w:r w:rsidRPr="00C76139">
              <w:rPr>
                <w:rFonts w:cs="Arial"/>
                <w:b/>
                <w:bCs/>
                <w:sz w:val="36"/>
                <w:szCs w:val="36"/>
              </w:rPr>
              <w:lastRenderedPageBreak/>
              <w:t>2</w:t>
            </w:r>
          </w:p>
          <w:p w14:paraId="6CD9700B" w14:textId="06867C9A" w:rsidR="00940F03" w:rsidRPr="00C76139" w:rsidRDefault="00BF73DF" w:rsidP="00092477">
            <w:pPr>
              <w:pStyle w:val="TableText"/>
              <w:jc w:val="center"/>
              <w:rPr>
                <w:rFonts w:cs="Arial"/>
                <w:b/>
                <w:bCs/>
                <w:sz w:val="28"/>
                <w:szCs w:val="28"/>
              </w:rPr>
            </w:pPr>
            <w:r w:rsidRPr="00C76139">
              <w:rPr>
                <w:rFonts w:cs="Arial"/>
                <w:b/>
                <w:bCs/>
                <w:sz w:val="20"/>
                <w:szCs w:val="20"/>
              </w:rPr>
              <w:t>Achieving</w:t>
            </w:r>
          </w:p>
        </w:tc>
        <w:tc>
          <w:tcPr>
            <w:tcW w:w="2138" w:type="dxa"/>
          </w:tcPr>
          <w:p w14:paraId="1B295B7E" w14:textId="33312495" w:rsidR="00087279" w:rsidRPr="00C76139" w:rsidRDefault="00087279" w:rsidP="00092477">
            <w:pPr>
              <w:pStyle w:val="TableText"/>
              <w:rPr>
                <w:rFonts w:cs="Arial"/>
              </w:rPr>
            </w:pPr>
            <w:r w:rsidRPr="00C76139">
              <w:rPr>
                <w:rFonts w:cs="Arial"/>
                <w:b/>
                <w:bCs/>
              </w:rPr>
              <w:t>Diane-Kareen Charles</w:t>
            </w:r>
          </w:p>
          <w:p w14:paraId="343984A4" w14:textId="7A599C0D" w:rsidR="00087279" w:rsidRPr="004B77AE" w:rsidRDefault="00087279" w:rsidP="00092477">
            <w:pPr>
              <w:pStyle w:val="TableText"/>
              <w:rPr>
                <w:rFonts w:cs="Arial"/>
              </w:rPr>
            </w:pPr>
            <w:r w:rsidRPr="00C76139">
              <w:rPr>
                <w:rFonts w:cs="Arial"/>
              </w:rPr>
              <w:t>Deputy Chief Nurse and Director of Quality</w:t>
            </w:r>
          </w:p>
          <w:p w14:paraId="3182C9F1" w14:textId="77777777" w:rsidR="00087279" w:rsidRPr="004B77AE" w:rsidRDefault="00087279" w:rsidP="00092477">
            <w:pPr>
              <w:pStyle w:val="TableText"/>
              <w:rPr>
                <w:rFonts w:cs="Arial"/>
              </w:rPr>
            </w:pPr>
          </w:p>
          <w:p w14:paraId="6CAC56B8" w14:textId="3BA893A4" w:rsidR="00087279" w:rsidRPr="004B77AE" w:rsidRDefault="00087279" w:rsidP="00092477">
            <w:pPr>
              <w:pStyle w:val="TableText"/>
              <w:rPr>
                <w:rFonts w:cs="Arial"/>
              </w:rPr>
            </w:pPr>
          </w:p>
        </w:tc>
      </w:tr>
      <w:tr w:rsidR="00087279" w:rsidRPr="004B77AE" w14:paraId="7173C406" w14:textId="77777777" w:rsidTr="00BE770C">
        <w:trPr>
          <w:cantSplit/>
          <w:trHeight w:val="1134"/>
        </w:trPr>
        <w:tc>
          <w:tcPr>
            <w:tcW w:w="1093" w:type="dxa"/>
            <w:shd w:val="clear" w:color="auto" w:fill="BDDEFF" w:themeFill="accent1" w:themeFillTint="33"/>
            <w:textDirection w:val="btLr"/>
          </w:tcPr>
          <w:p w14:paraId="13CC77A0" w14:textId="77777777" w:rsidR="00BE770C" w:rsidRDefault="00BE770C" w:rsidP="00BE770C">
            <w:pPr>
              <w:ind w:left="113" w:right="113"/>
              <w:jc w:val="center"/>
              <w:rPr>
                <w:rFonts w:cs="Arial"/>
                <w:b/>
                <w:sz w:val="32"/>
                <w:szCs w:val="32"/>
              </w:rPr>
            </w:pPr>
            <w:r w:rsidRPr="004B77AE">
              <w:rPr>
                <w:rFonts w:cs="Arial"/>
                <w:b/>
                <w:sz w:val="32"/>
                <w:szCs w:val="32"/>
              </w:rPr>
              <w:lastRenderedPageBreak/>
              <w:t>Doma</w:t>
            </w:r>
            <w:r>
              <w:rPr>
                <w:rFonts w:cs="Arial"/>
                <w:b/>
                <w:sz w:val="32"/>
                <w:szCs w:val="32"/>
              </w:rPr>
              <w:t>i</w:t>
            </w:r>
            <w:r w:rsidRPr="004B77AE">
              <w:rPr>
                <w:rFonts w:cs="Arial"/>
                <w:b/>
                <w:sz w:val="32"/>
                <w:szCs w:val="32"/>
              </w:rPr>
              <w:t xml:space="preserve">n 1: </w:t>
            </w:r>
          </w:p>
          <w:p w14:paraId="38859010" w14:textId="525B4E02" w:rsidR="00BE770C" w:rsidRPr="004B77AE" w:rsidRDefault="00BE770C" w:rsidP="00BE770C">
            <w:pPr>
              <w:ind w:left="113" w:right="113"/>
              <w:jc w:val="center"/>
              <w:rPr>
                <w:rFonts w:cs="Arial"/>
                <w:b/>
                <w:sz w:val="32"/>
                <w:szCs w:val="32"/>
              </w:rPr>
            </w:pPr>
            <w:r w:rsidRPr="004B77AE">
              <w:rPr>
                <w:rFonts w:cs="Arial"/>
                <w:b/>
                <w:sz w:val="32"/>
                <w:szCs w:val="32"/>
              </w:rPr>
              <w:t xml:space="preserve">Commissioned or provided </w:t>
            </w:r>
            <w:proofErr w:type="gramStart"/>
            <w:r w:rsidRPr="004B77AE">
              <w:rPr>
                <w:rFonts w:cs="Arial"/>
                <w:b/>
                <w:sz w:val="32"/>
                <w:szCs w:val="32"/>
              </w:rPr>
              <w:t>services</w:t>
            </w:r>
            <w:proofErr w:type="gramEnd"/>
          </w:p>
          <w:p w14:paraId="37C786F8" w14:textId="77777777" w:rsidR="00087279" w:rsidRPr="004B77AE" w:rsidRDefault="00087279" w:rsidP="00BE770C">
            <w:pPr>
              <w:ind w:left="113" w:right="113"/>
              <w:rPr>
                <w:rFonts w:cs="Arial"/>
              </w:rPr>
            </w:pPr>
          </w:p>
        </w:tc>
        <w:tc>
          <w:tcPr>
            <w:tcW w:w="3250" w:type="dxa"/>
            <w:gridSpan w:val="2"/>
            <w:shd w:val="clear" w:color="auto" w:fill="BDDEFF" w:themeFill="accent1" w:themeFillTint="33"/>
            <w:vAlign w:val="center"/>
          </w:tcPr>
          <w:p w14:paraId="7C91A7AA" w14:textId="77777777" w:rsidR="00087279" w:rsidRPr="004B77AE" w:rsidRDefault="00087279" w:rsidP="00092477">
            <w:pPr>
              <w:rPr>
                <w:rFonts w:cs="Arial"/>
              </w:rPr>
            </w:pPr>
            <w:r w:rsidRPr="004B77AE">
              <w:rPr>
                <w:rFonts w:cs="Arial"/>
              </w:rPr>
              <w:t>1B: Individual p</w:t>
            </w:r>
            <w:r w:rsidRPr="004B77AE">
              <w:rPr>
                <w:rFonts w:cs="Arial"/>
                <w:bCs/>
              </w:rPr>
              <w:t xml:space="preserve">atients (service users) </w:t>
            </w:r>
            <w:r w:rsidRPr="004B77AE">
              <w:rPr>
                <w:rFonts w:cs="Arial"/>
              </w:rPr>
              <w:t>health needs are met</w:t>
            </w:r>
          </w:p>
        </w:tc>
        <w:tc>
          <w:tcPr>
            <w:tcW w:w="7694" w:type="dxa"/>
            <w:gridSpan w:val="2"/>
          </w:tcPr>
          <w:p w14:paraId="30C2E853" w14:textId="77777777" w:rsidR="00176A34" w:rsidRDefault="00176A34" w:rsidP="00092477">
            <w:pPr>
              <w:pStyle w:val="TableText"/>
              <w:rPr>
                <w:rFonts w:cs="Arial"/>
              </w:rPr>
            </w:pPr>
            <w:r>
              <w:rPr>
                <w:rFonts w:cs="Arial"/>
                <w:b/>
                <w:bCs/>
              </w:rPr>
              <w:t xml:space="preserve">General </w:t>
            </w:r>
          </w:p>
          <w:p w14:paraId="40577A77" w14:textId="77777777" w:rsidR="00176A34" w:rsidRDefault="00176A34" w:rsidP="00092477">
            <w:pPr>
              <w:pStyle w:val="TableText"/>
              <w:rPr>
                <w:rFonts w:cs="Arial"/>
              </w:rPr>
            </w:pPr>
            <w:r>
              <w:rPr>
                <w:rFonts w:cs="Arial"/>
              </w:rPr>
              <w:t xml:space="preserve">A focus on personalisation and person </w:t>
            </w:r>
            <w:proofErr w:type="spellStart"/>
            <w:r>
              <w:rPr>
                <w:rFonts w:cs="Arial"/>
              </w:rPr>
              <w:t>centered</w:t>
            </w:r>
            <w:proofErr w:type="spellEnd"/>
            <w:r>
              <w:rPr>
                <w:rFonts w:cs="Arial"/>
              </w:rPr>
              <w:t xml:space="preserve"> care across all commissioning activities ensure that services are individualised and bespoke where needed. The use of personal health budgets across care commissioning support this,</w:t>
            </w:r>
          </w:p>
          <w:p w14:paraId="7701F78D" w14:textId="77777777" w:rsidR="00176A34" w:rsidRDefault="00176A34" w:rsidP="00092477">
            <w:pPr>
              <w:pStyle w:val="TableText"/>
              <w:rPr>
                <w:rFonts w:cs="Arial"/>
              </w:rPr>
            </w:pPr>
          </w:p>
          <w:p w14:paraId="2182D1A3" w14:textId="4F24BC61" w:rsidR="00176A34" w:rsidRDefault="00176A34" w:rsidP="00092477">
            <w:pPr>
              <w:pStyle w:val="TableText"/>
              <w:rPr>
                <w:rFonts w:cs="Arial"/>
              </w:rPr>
            </w:pPr>
            <w:r>
              <w:rPr>
                <w:rFonts w:cs="Arial"/>
              </w:rPr>
              <w:t xml:space="preserve">Local engagement and investigation raised concerns about the maternity services in the system being accessible or appropriate for all communities. Work to address this has been undertaken in partnership </w:t>
            </w:r>
            <w:r>
              <w:rPr>
                <w:rFonts w:cs="Arial"/>
              </w:rPr>
              <w:lastRenderedPageBreak/>
              <w:t xml:space="preserve">with women, birthing </w:t>
            </w:r>
            <w:proofErr w:type="gramStart"/>
            <w:r>
              <w:rPr>
                <w:rFonts w:cs="Arial"/>
              </w:rPr>
              <w:t>people</w:t>
            </w:r>
            <w:proofErr w:type="gramEnd"/>
            <w:r>
              <w:rPr>
                <w:rFonts w:cs="Arial"/>
              </w:rPr>
              <w:t xml:space="preserve"> and families – especially black and bro</w:t>
            </w:r>
            <w:r w:rsidR="00092477">
              <w:rPr>
                <w:rFonts w:cs="Arial"/>
              </w:rPr>
              <w:t>w</w:t>
            </w:r>
            <w:r>
              <w:rPr>
                <w:rFonts w:cs="Arial"/>
              </w:rPr>
              <w:t xml:space="preserve">n women. This work has </w:t>
            </w:r>
            <w:proofErr w:type="gramStart"/>
            <w:r>
              <w:rPr>
                <w:rFonts w:cs="Arial"/>
              </w:rPr>
              <w:t>included;</w:t>
            </w:r>
            <w:proofErr w:type="gramEnd"/>
          </w:p>
          <w:p w14:paraId="32B125F8" w14:textId="77777777" w:rsidR="00176A34" w:rsidRDefault="00176A34" w:rsidP="00441BD5">
            <w:pPr>
              <w:pStyle w:val="TableText"/>
              <w:numPr>
                <w:ilvl w:val="0"/>
                <w:numId w:val="25"/>
              </w:numPr>
              <w:rPr>
                <w:rFonts w:cs="Arial"/>
              </w:rPr>
            </w:pPr>
            <w:r>
              <w:rPr>
                <w:rFonts w:cs="Arial"/>
              </w:rPr>
              <w:t>In my shoes active learning event bringing together service providers and commissioners with women and families from affected communities to identify and work together to improve services (oct 2023)</w:t>
            </w:r>
          </w:p>
          <w:p w14:paraId="510A6712" w14:textId="77777777" w:rsidR="00176A34" w:rsidRDefault="00176A34" w:rsidP="00441BD5">
            <w:pPr>
              <w:pStyle w:val="TableText"/>
              <w:numPr>
                <w:ilvl w:val="0"/>
                <w:numId w:val="25"/>
              </w:numPr>
              <w:rPr>
                <w:rFonts w:cs="Arial"/>
              </w:rPr>
            </w:pPr>
            <w:r>
              <w:rPr>
                <w:rFonts w:cs="Arial"/>
              </w:rPr>
              <w:t>Bespoke cultural competency training and support for maternity commissioners to understand better community need – March 2023</w:t>
            </w:r>
          </w:p>
          <w:p w14:paraId="1720FE6D" w14:textId="77777777" w:rsidR="00176A34" w:rsidRDefault="00176A34" w:rsidP="00441BD5">
            <w:pPr>
              <w:pStyle w:val="TableText"/>
              <w:numPr>
                <w:ilvl w:val="0"/>
                <w:numId w:val="25"/>
              </w:numPr>
              <w:rPr>
                <w:rFonts w:cs="Arial"/>
              </w:rPr>
            </w:pPr>
            <w:r>
              <w:rPr>
                <w:rFonts w:cs="Arial"/>
              </w:rPr>
              <w:t>Strengthening of the Maternity and Neonatal Voices Partnership to bring the voice of people with lived experience into service design and oversight conversations.</w:t>
            </w:r>
          </w:p>
          <w:p w14:paraId="39F2C623" w14:textId="414EB8F6" w:rsidR="00920554" w:rsidRPr="004B77AE" w:rsidRDefault="00176A34" w:rsidP="00092477">
            <w:pPr>
              <w:pStyle w:val="TableText"/>
              <w:rPr>
                <w:rFonts w:cs="Arial"/>
              </w:rPr>
            </w:pPr>
            <w:r>
              <w:rPr>
                <w:rFonts w:cs="Arial"/>
              </w:rPr>
              <w:t xml:space="preserve">Appointment of an independent maternity senior advocate by the ICB to support families raising concerns when there are access (or safety) issues directly with </w:t>
            </w:r>
            <w:proofErr w:type="gramStart"/>
            <w:r>
              <w:rPr>
                <w:rFonts w:cs="Arial"/>
              </w:rPr>
              <w:t>commissioners.</w:t>
            </w:r>
            <w:r w:rsidR="00920554" w:rsidRPr="004B77AE">
              <w:rPr>
                <w:rFonts w:cs="Arial"/>
              </w:rPr>
              <w:t>.</w:t>
            </w:r>
            <w:proofErr w:type="gramEnd"/>
          </w:p>
          <w:p w14:paraId="31A7F5D9" w14:textId="77777777" w:rsidR="00920554" w:rsidRPr="004B77AE" w:rsidRDefault="00920554" w:rsidP="00092477">
            <w:pPr>
              <w:pStyle w:val="TableText"/>
              <w:rPr>
                <w:rFonts w:cs="Arial"/>
              </w:rPr>
            </w:pPr>
          </w:p>
          <w:p w14:paraId="276150CA" w14:textId="2F0FE71E" w:rsidR="00087279" w:rsidRDefault="00BA7E91" w:rsidP="00092477">
            <w:pPr>
              <w:pStyle w:val="TableText"/>
              <w:rPr>
                <w:rFonts w:cs="Arial"/>
                <w:b/>
                <w:bCs/>
              </w:rPr>
            </w:pPr>
            <w:r w:rsidRPr="004B77AE">
              <w:rPr>
                <w:rFonts w:cs="Arial"/>
                <w:b/>
                <w:bCs/>
              </w:rPr>
              <w:t xml:space="preserve">Service 1 – Talking Therapies </w:t>
            </w:r>
          </w:p>
          <w:p w14:paraId="13424DE9" w14:textId="77777777" w:rsidR="00A2502C" w:rsidRPr="004B77AE" w:rsidRDefault="00A2502C" w:rsidP="00092477">
            <w:pPr>
              <w:pStyle w:val="TableText"/>
              <w:rPr>
                <w:rFonts w:cs="Arial"/>
              </w:rPr>
            </w:pPr>
            <w:r w:rsidRPr="004B77AE">
              <w:rPr>
                <w:rFonts w:cs="Arial"/>
              </w:rPr>
              <w:t xml:space="preserve">Subcontract arrangements with local VCSE organisations to support increased access for hard-to-reach groups and develop links between talking therapies and the local </w:t>
            </w:r>
            <w:proofErr w:type="gramStart"/>
            <w:r w:rsidRPr="004B77AE">
              <w:rPr>
                <w:rFonts w:cs="Arial"/>
              </w:rPr>
              <w:t>community</w:t>
            </w:r>
            <w:proofErr w:type="gramEnd"/>
          </w:p>
          <w:p w14:paraId="2B86EFBA" w14:textId="77777777" w:rsidR="00A2502C" w:rsidRDefault="00A2502C" w:rsidP="00092477">
            <w:pPr>
              <w:pStyle w:val="TableText"/>
              <w:rPr>
                <w:rFonts w:cs="Arial"/>
              </w:rPr>
            </w:pPr>
          </w:p>
          <w:p w14:paraId="71B39AF0" w14:textId="11B0179F" w:rsidR="00A2502C" w:rsidRPr="004B77AE" w:rsidRDefault="00A2502C" w:rsidP="00092477">
            <w:pPr>
              <w:pStyle w:val="TableText"/>
              <w:rPr>
                <w:rFonts w:cs="Arial"/>
              </w:rPr>
            </w:pPr>
            <w:r w:rsidRPr="004B77AE">
              <w:rPr>
                <w:rFonts w:cs="Arial"/>
              </w:rPr>
              <w:t>An embedded community engagement function focused on</w:t>
            </w:r>
            <w:r>
              <w:rPr>
                <w:rFonts w:cs="Arial"/>
              </w:rPr>
              <w:t xml:space="preserve"> </w:t>
            </w:r>
            <w:r w:rsidRPr="004B77AE">
              <w:rPr>
                <w:rFonts w:cs="Arial"/>
              </w:rPr>
              <w:t xml:space="preserve">developing partnerships and referral pathways with other groups and organisations and engaging with communities to support continuous service </w:t>
            </w:r>
            <w:proofErr w:type="gramStart"/>
            <w:r w:rsidRPr="004B77AE">
              <w:rPr>
                <w:rFonts w:cs="Arial"/>
              </w:rPr>
              <w:t>improvement</w:t>
            </w:r>
            <w:proofErr w:type="gramEnd"/>
          </w:p>
          <w:p w14:paraId="1EEEC022" w14:textId="77777777" w:rsidR="00A2502C" w:rsidRPr="004B77AE" w:rsidRDefault="00A2502C" w:rsidP="00092477">
            <w:pPr>
              <w:pStyle w:val="TableText"/>
              <w:rPr>
                <w:rFonts w:cs="Arial"/>
              </w:rPr>
            </w:pPr>
          </w:p>
          <w:p w14:paraId="5B65197E" w14:textId="241419E5" w:rsidR="00087279" w:rsidRPr="004B77AE" w:rsidRDefault="00087279" w:rsidP="00092477">
            <w:pPr>
              <w:pStyle w:val="TableText"/>
              <w:rPr>
                <w:rFonts w:cs="Arial"/>
              </w:rPr>
            </w:pPr>
            <w:r w:rsidRPr="004B77AE">
              <w:rPr>
                <w:rFonts w:cs="Arial"/>
              </w:rPr>
              <w:t>The service is meeting its first appointment targets and prioritising people based on clinical need. They also prioritise perinatal women and people.</w:t>
            </w:r>
          </w:p>
          <w:p w14:paraId="70843938" w14:textId="77777777" w:rsidR="00087279" w:rsidRPr="004B77AE" w:rsidRDefault="00087279" w:rsidP="00092477">
            <w:pPr>
              <w:pStyle w:val="TableText"/>
              <w:rPr>
                <w:rFonts w:cs="Arial"/>
              </w:rPr>
            </w:pPr>
          </w:p>
          <w:p w14:paraId="34CDBFCD" w14:textId="0C6749EC" w:rsidR="00087279" w:rsidRDefault="00087279" w:rsidP="00092477">
            <w:pPr>
              <w:pStyle w:val="TableText"/>
              <w:rPr>
                <w:rFonts w:cs="Arial"/>
              </w:rPr>
            </w:pPr>
            <w:r w:rsidRPr="004B77AE">
              <w:rPr>
                <w:rFonts w:cs="Arial"/>
              </w:rPr>
              <w:t>Clinical effectiveness is measured through routine outcome measures and performance managed. The service achieves the standards for the recovery rate (50%) and reliable improvement (66%)</w:t>
            </w:r>
            <w:r w:rsidR="0071469B" w:rsidRPr="004B77AE">
              <w:rPr>
                <w:rFonts w:cs="Arial"/>
              </w:rPr>
              <w:t xml:space="preserve"> </w:t>
            </w:r>
            <w:r w:rsidRPr="004B77AE">
              <w:rPr>
                <w:rFonts w:cs="Arial"/>
              </w:rPr>
              <w:t xml:space="preserve">consistently. A person moves to recovery if their symptoms were considered a clinical </w:t>
            </w:r>
            <w:r w:rsidRPr="004B77AE">
              <w:rPr>
                <w:rFonts w:cs="Arial"/>
              </w:rPr>
              <w:lastRenderedPageBreak/>
              <w:t>case at the start of their treatment (that is, their symptoms exceed a defined threshold as measured by scoring tools) and not a clinical case at the end of their treatment. A person has shown reliable improvement if there is a significant improvement in their condition following a course of treatment, measured by the difference in their first and last score.</w:t>
            </w:r>
          </w:p>
          <w:p w14:paraId="5AF154A3" w14:textId="77777777" w:rsidR="00A2502C" w:rsidRPr="004B77AE" w:rsidRDefault="00A2502C" w:rsidP="00092477">
            <w:pPr>
              <w:pStyle w:val="TableText"/>
              <w:rPr>
                <w:rFonts w:cs="Arial"/>
              </w:rPr>
            </w:pPr>
          </w:p>
          <w:p w14:paraId="7748D0F8" w14:textId="77777777" w:rsidR="00A2502C" w:rsidRPr="004B77AE" w:rsidRDefault="00A2502C" w:rsidP="00092477">
            <w:pPr>
              <w:pStyle w:val="TableText"/>
              <w:rPr>
                <w:rFonts w:cs="Arial"/>
              </w:rPr>
            </w:pPr>
            <w:r w:rsidRPr="004B77AE">
              <w:rPr>
                <w:rFonts w:cs="Arial"/>
              </w:rPr>
              <w:t>The service’s Marketing and Engagement Strategy has a focus on addressing health inequalities. Each month has a focus on a different demographic - marketing materials are tailored to different populations, engagement and co-production activities are undertaken and recommendations are fed back to the service through meetings with the CPO team, clinical and operation managers.</w:t>
            </w:r>
          </w:p>
          <w:p w14:paraId="6668DF3D" w14:textId="77777777" w:rsidR="00A2502C" w:rsidRPr="004B77AE" w:rsidRDefault="00A2502C" w:rsidP="00092477">
            <w:pPr>
              <w:pStyle w:val="TableText"/>
              <w:rPr>
                <w:rFonts w:cs="Arial"/>
              </w:rPr>
            </w:pPr>
          </w:p>
          <w:p w14:paraId="275CE58B" w14:textId="24C80C63" w:rsidR="00B249D2" w:rsidRPr="004B77AE" w:rsidRDefault="00BA7E91" w:rsidP="00092477">
            <w:pPr>
              <w:pStyle w:val="TableText"/>
              <w:rPr>
                <w:rFonts w:cs="Arial"/>
              </w:rPr>
            </w:pPr>
            <w:r w:rsidRPr="004B77AE">
              <w:rPr>
                <w:rFonts w:cs="Arial"/>
                <w:b/>
                <w:bCs/>
              </w:rPr>
              <w:t xml:space="preserve">Service 2 – Home Enteral Feeding and Dietetics Service </w:t>
            </w:r>
            <w:r w:rsidR="00B249D2" w:rsidRPr="004B77AE">
              <w:rPr>
                <w:rFonts w:cs="Arial"/>
              </w:rPr>
              <w:t xml:space="preserve"> </w:t>
            </w:r>
          </w:p>
          <w:p w14:paraId="17BE0D55" w14:textId="142F5629" w:rsidR="007F5412" w:rsidRPr="004B77AE" w:rsidRDefault="007F5412" w:rsidP="00092477">
            <w:pPr>
              <w:pStyle w:val="TableText"/>
              <w:rPr>
                <w:rFonts w:cs="Arial"/>
                <w:lang w:val="en-US"/>
              </w:rPr>
            </w:pPr>
            <w:r w:rsidRPr="004B77AE">
              <w:rPr>
                <w:rFonts w:cs="Arial"/>
                <w:lang w:val="en-US"/>
              </w:rPr>
              <w:t>This service</w:t>
            </w:r>
            <w:r w:rsidR="00AC067D">
              <w:rPr>
                <w:rFonts w:cs="Arial"/>
                <w:lang w:val="en-US"/>
              </w:rPr>
              <w:t xml:space="preserve"> meets </w:t>
            </w:r>
            <w:proofErr w:type="spellStart"/>
            <w:proofErr w:type="gramStart"/>
            <w:r w:rsidR="00AC067D">
              <w:rPr>
                <w:rFonts w:cs="Arial"/>
                <w:lang w:val="en-US"/>
              </w:rPr>
              <w:t>peoples</w:t>
            </w:r>
            <w:proofErr w:type="spellEnd"/>
            <w:proofErr w:type="gramEnd"/>
            <w:r w:rsidR="00AC067D">
              <w:rPr>
                <w:rFonts w:cs="Arial"/>
                <w:lang w:val="en-US"/>
              </w:rPr>
              <w:t xml:space="preserve"> health needs and </w:t>
            </w:r>
            <w:r w:rsidRPr="004B77AE">
              <w:rPr>
                <w:rFonts w:cs="Arial"/>
                <w:lang w:val="en-US"/>
              </w:rPr>
              <w:t xml:space="preserve">significantly reduces the likelihood of inappropriate referrals to acute services. Supports ICB priorities of </w:t>
            </w:r>
          </w:p>
          <w:p w14:paraId="71123C89" w14:textId="77777777" w:rsidR="007F5412" w:rsidRPr="004B77AE" w:rsidRDefault="007F5412" w:rsidP="00441BD5">
            <w:pPr>
              <w:pStyle w:val="TableText"/>
              <w:numPr>
                <w:ilvl w:val="0"/>
                <w:numId w:val="17"/>
              </w:numPr>
              <w:rPr>
                <w:rFonts w:cs="Arial"/>
                <w:lang w:val="en-US"/>
              </w:rPr>
            </w:pPr>
            <w:r w:rsidRPr="004B77AE">
              <w:rPr>
                <w:rFonts w:cs="Arial"/>
                <w:lang w:val="en-US"/>
              </w:rPr>
              <w:t xml:space="preserve">reducing hospital admissions  </w:t>
            </w:r>
          </w:p>
          <w:p w14:paraId="63A9389F" w14:textId="77777777" w:rsidR="007F5412" w:rsidRPr="004B77AE" w:rsidRDefault="007F5412" w:rsidP="00441BD5">
            <w:pPr>
              <w:pStyle w:val="TableText"/>
              <w:numPr>
                <w:ilvl w:val="0"/>
                <w:numId w:val="17"/>
              </w:numPr>
              <w:rPr>
                <w:rFonts w:cs="Arial"/>
                <w:lang w:val="en-US"/>
              </w:rPr>
            </w:pPr>
            <w:r w:rsidRPr="004B77AE">
              <w:rPr>
                <w:rFonts w:cs="Arial"/>
                <w:lang w:val="en-US"/>
              </w:rPr>
              <w:t xml:space="preserve">reducing A+E attendances  </w:t>
            </w:r>
          </w:p>
          <w:p w14:paraId="6DEE187B" w14:textId="77777777" w:rsidR="007F5412" w:rsidRDefault="007F5412" w:rsidP="00441BD5">
            <w:pPr>
              <w:pStyle w:val="TableText"/>
              <w:numPr>
                <w:ilvl w:val="0"/>
                <w:numId w:val="17"/>
              </w:numPr>
              <w:rPr>
                <w:rFonts w:cs="Arial"/>
                <w:lang w:val="en-US"/>
              </w:rPr>
            </w:pPr>
            <w:r w:rsidRPr="004B77AE">
              <w:rPr>
                <w:rFonts w:cs="Arial"/>
                <w:lang w:val="en-US"/>
              </w:rPr>
              <w:t xml:space="preserve">reducing delayed discharges. </w:t>
            </w:r>
          </w:p>
          <w:p w14:paraId="5D630BB2" w14:textId="77777777" w:rsidR="00176A34" w:rsidRPr="004B77AE" w:rsidRDefault="00176A34" w:rsidP="00092477">
            <w:pPr>
              <w:pStyle w:val="TableText"/>
              <w:ind w:left="720"/>
              <w:rPr>
                <w:rFonts w:cs="Arial"/>
                <w:lang w:val="en-US"/>
              </w:rPr>
            </w:pPr>
          </w:p>
          <w:p w14:paraId="622E1606" w14:textId="77777777" w:rsidR="007F5412" w:rsidRPr="004B77AE" w:rsidRDefault="007F5412" w:rsidP="00092477">
            <w:pPr>
              <w:pStyle w:val="TableText"/>
              <w:rPr>
                <w:rFonts w:cs="Arial"/>
                <w:lang w:val="en-US"/>
              </w:rPr>
            </w:pPr>
            <w:r w:rsidRPr="004B77AE">
              <w:rPr>
                <w:rFonts w:cs="Arial"/>
                <w:lang w:val="en-US"/>
              </w:rPr>
              <w:t xml:space="preserve">Use of </w:t>
            </w:r>
            <w:proofErr w:type="spellStart"/>
            <w:r w:rsidRPr="004B77AE">
              <w:rPr>
                <w:rFonts w:cs="Arial"/>
                <w:lang w:val="en-US"/>
              </w:rPr>
              <w:t>SystmOne</w:t>
            </w:r>
            <w:proofErr w:type="spellEnd"/>
            <w:r w:rsidRPr="004B77AE">
              <w:rPr>
                <w:rFonts w:cs="Arial"/>
                <w:lang w:val="en-US"/>
              </w:rPr>
              <w:t xml:space="preserve"> data to support clinical quality improvement process. </w:t>
            </w:r>
          </w:p>
          <w:p w14:paraId="1D0FE163" w14:textId="77777777" w:rsidR="007F5412" w:rsidRPr="004B77AE" w:rsidRDefault="007F5412" w:rsidP="00092477">
            <w:pPr>
              <w:pStyle w:val="TableText"/>
              <w:rPr>
                <w:rFonts w:cs="Arial"/>
                <w:lang w:val="en-US"/>
              </w:rPr>
            </w:pPr>
            <w:r w:rsidRPr="004B77AE">
              <w:rPr>
                <w:rFonts w:cs="Arial"/>
                <w:lang w:val="en-US"/>
              </w:rPr>
              <w:t>Helps to treat the patient in their familiar, safe surroundings, which reduces mental stressors of having to gain access to a hospital setting.</w:t>
            </w:r>
          </w:p>
          <w:p w14:paraId="05465A73" w14:textId="77777777" w:rsidR="007F5412" w:rsidRPr="004B77AE" w:rsidRDefault="007F5412" w:rsidP="00092477">
            <w:pPr>
              <w:pStyle w:val="TableText"/>
              <w:rPr>
                <w:rFonts w:cs="Arial"/>
                <w:lang w:val="en-US"/>
              </w:rPr>
            </w:pPr>
            <w:r w:rsidRPr="004B77AE">
              <w:rPr>
                <w:rFonts w:cs="Arial"/>
                <w:lang w:val="en-US"/>
              </w:rPr>
              <w:t xml:space="preserve">Personalised Care approach </w:t>
            </w:r>
            <w:proofErr w:type="gramStart"/>
            <w:r w:rsidRPr="004B77AE">
              <w:rPr>
                <w:rFonts w:cs="Arial"/>
                <w:lang w:val="en-US"/>
              </w:rPr>
              <w:t>taking into account</w:t>
            </w:r>
            <w:proofErr w:type="gramEnd"/>
            <w:r w:rsidRPr="004B77AE">
              <w:rPr>
                <w:rFonts w:cs="Arial"/>
                <w:lang w:val="en-US"/>
              </w:rPr>
              <w:t xml:space="preserve"> ‘what matters to me’.</w:t>
            </w:r>
          </w:p>
          <w:p w14:paraId="7708AC31" w14:textId="77777777" w:rsidR="007F5412" w:rsidRPr="004B77AE" w:rsidRDefault="007F5412" w:rsidP="00092477">
            <w:pPr>
              <w:pStyle w:val="TableText"/>
              <w:rPr>
                <w:rFonts w:cs="Arial"/>
                <w:lang w:val="en-US"/>
              </w:rPr>
            </w:pPr>
            <w:r w:rsidRPr="004B77AE">
              <w:rPr>
                <w:rFonts w:cs="Arial"/>
                <w:lang w:val="en-US"/>
              </w:rPr>
              <w:t xml:space="preserve">This is a referral service; patients cannot self-refer. </w:t>
            </w:r>
          </w:p>
          <w:p w14:paraId="22C2B968" w14:textId="77777777" w:rsidR="007F5412" w:rsidRPr="004B77AE" w:rsidRDefault="007F5412" w:rsidP="00092477">
            <w:pPr>
              <w:pStyle w:val="TableText"/>
              <w:rPr>
                <w:rFonts w:cs="Arial"/>
              </w:rPr>
            </w:pPr>
            <w:r w:rsidRPr="004B77AE">
              <w:rPr>
                <w:rFonts w:cs="Arial"/>
                <w:lang w:val="en-US"/>
              </w:rPr>
              <w:t xml:space="preserve">Referral is via DBHT or GPs for HEF patients or those who </w:t>
            </w:r>
            <w:r w:rsidRPr="004B77AE">
              <w:rPr>
                <w:rFonts w:cs="Arial"/>
              </w:rPr>
              <w:t>score 2 or more on the Malnutrition Universal Screening Tool (MUST) indicating a referral through ‘</w:t>
            </w:r>
            <w:hyperlink r:id="rId19" w:history="1">
              <w:r w:rsidRPr="004B77AE">
                <w:rPr>
                  <w:rStyle w:val="Hyperlink"/>
                  <w:rFonts w:cs="Arial"/>
                </w:rPr>
                <w:t>REACT to malnutrition and dehydration</w:t>
              </w:r>
            </w:hyperlink>
            <w:r w:rsidRPr="004B77AE">
              <w:rPr>
                <w:rFonts w:cs="Arial"/>
              </w:rPr>
              <w:t xml:space="preserve">’ a scheme created and managed by Doncaster and Bassetlaw Dietetic Team. </w:t>
            </w:r>
          </w:p>
          <w:p w14:paraId="234F89F3" w14:textId="77777777" w:rsidR="007F5412" w:rsidRDefault="007F5412" w:rsidP="00092477">
            <w:pPr>
              <w:pStyle w:val="TableText"/>
              <w:rPr>
                <w:rFonts w:cs="Arial"/>
              </w:rPr>
            </w:pPr>
            <w:r w:rsidRPr="004B77AE">
              <w:rPr>
                <w:rFonts w:cs="Arial"/>
              </w:rPr>
              <w:t>Blocked PEGs/issues with tubes are manged by Homeward Nurse/GP/A&amp;E.</w:t>
            </w:r>
          </w:p>
          <w:p w14:paraId="2120CA05" w14:textId="1F2865D5" w:rsidR="007F5412" w:rsidRPr="004B77AE" w:rsidRDefault="007F5412" w:rsidP="00092477">
            <w:pPr>
              <w:pStyle w:val="TableText"/>
              <w:rPr>
                <w:rFonts w:cs="Arial"/>
              </w:rPr>
            </w:pPr>
          </w:p>
          <w:p w14:paraId="4D5BD239" w14:textId="77777777" w:rsidR="00087279" w:rsidRPr="004B77AE" w:rsidRDefault="00087279" w:rsidP="00092477">
            <w:pPr>
              <w:pStyle w:val="TableText"/>
              <w:rPr>
                <w:rFonts w:cs="Arial"/>
              </w:rPr>
            </w:pPr>
          </w:p>
          <w:p w14:paraId="21D4004C" w14:textId="77777777" w:rsidR="00C244C7" w:rsidRDefault="00C244C7" w:rsidP="00092477">
            <w:pPr>
              <w:pStyle w:val="TableText"/>
              <w:rPr>
                <w:rFonts w:cs="Arial"/>
                <w:b/>
                <w:bCs/>
              </w:rPr>
            </w:pPr>
          </w:p>
          <w:p w14:paraId="1A71EFDF" w14:textId="77777777" w:rsidR="00C244C7" w:rsidRDefault="00C244C7" w:rsidP="00092477">
            <w:pPr>
              <w:pStyle w:val="TableText"/>
              <w:rPr>
                <w:rFonts w:cs="Arial"/>
                <w:b/>
                <w:bCs/>
              </w:rPr>
            </w:pPr>
          </w:p>
          <w:p w14:paraId="600F41A1" w14:textId="5D1C1C2E" w:rsidR="00087279" w:rsidRPr="004B77AE" w:rsidRDefault="00BA7E91" w:rsidP="00092477">
            <w:pPr>
              <w:pStyle w:val="TableText"/>
              <w:rPr>
                <w:rFonts w:cs="Arial"/>
                <w:b/>
                <w:bCs/>
              </w:rPr>
            </w:pPr>
            <w:r w:rsidRPr="004B77AE">
              <w:rPr>
                <w:rFonts w:cs="Arial"/>
                <w:b/>
                <w:bCs/>
              </w:rPr>
              <w:t>Service 3 – Commissioning P3 Beds in Care and Nursing Homes (</w:t>
            </w:r>
          </w:p>
          <w:p w14:paraId="5FE7D06B" w14:textId="77777777" w:rsidR="00DD4AFD" w:rsidRPr="004B77AE" w:rsidRDefault="00DD4AFD" w:rsidP="00092477">
            <w:pPr>
              <w:pStyle w:val="TableText"/>
              <w:rPr>
                <w:rFonts w:cs="Arial"/>
              </w:rPr>
            </w:pPr>
            <w:r w:rsidRPr="004B77AE">
              <w:rPr>
                <w:rFonts w:cs="Arial"/>
              </w:rPr>
              <w:t>The direct award will have a positive impact on flow through the hospital meaning beds are vacated for other patients with acute needs.</w:t>
            </w:r>
          </w:p>
          <w:p w14:paraId="4A130BA5" w14:textId="5B3382E5" w:rsidR="00DD4AFD" w:rsidRPr="004B77AE" w:rsidRDefault="00DD4AFD" w:rsidP="00092477">
            <w:pPr>
              <w:pStyle w:val="TableText"/>
              <w:rPr>
                <w:rFonts w:cs="Arial"/>
              </w:rPr>
            </w:pPr>
            <w:r w:rsidRPr="004B77AE">
              <w:rPr>
                <w:rFonts w:cs="Arial"/>
              </w:rPr>
              <w:t>People will be identified as requiring a D2A P3 bed by the discharge hubs. A transfer of care document will be sent to the homes. The homes will assess the patients for suitability and then plan the care in their usual way.</w:t>
            </w:r>
          </w:p>
          <w:p w14:paraId="7ADA2136" w14:textId="45EC4BCE" w:rsidR="00A2502C" w:rsidRPr="006667CE" w:rsidRDefault="00A2502C" w:rsidP="00092477">
            <w:pPr>
              <w:pStyle w:val="TableText"/>
              <w:rPr>
                <w:rFonts w:cs="Arial"/>
              </w:rPr>
            </w:pPr>
          </w:p>
        </w:tc>
        <w:tc>
          <w:tcPr>
            <w:tcW w:w="1271" w:type="dxa"/>
            <w:shd w:val="clear" w:color="auto" w:fill="B7FFD2" w:themeFill="accent5" w:themeFillTint="33"/>
            <w:vAlign w:val="center"/>
          </w:tcPr>
          <w:p w14:paraId="53AFD81D" w14:textId="77777777" w:rsidR="00A2502C" w:rsidRPr="004B77AE" w:rsidRDefault="00A2502C" w:rsidP="00092477">
            <w:pPr>
              <w:pStyle w:val="TableText"/>
              <w:jc w:val="center"/>
              <w:rPr>
                <w:rFonts w:cs="Arial"/>
                <w:b/>
                <w:bCs/>
                <w:sz w:val="36"/>
                <w:szCs w:val="36"/>
              </w:rPr>
            </w:pPr>
            <w:r w:rsidRPr="004B77AE">
              <w:rPr>
                <w:rFonts w:cs="Arial"/>
                <w:b/>
                <w:bCs/>
                <w:sz w:val="36"/>
                <w:szCs w:val="36"/>
              </w:rPr>
              <w:lastRenderedPageBreak/>
              <w:t>2</w:t>
            </w:r>
          </w:p>
          <w:p w14:paraId="1D390995" w14:textId="3846F1AB" w:rsidR="00A2502C" w:rsidRPr="004B77AE" w:rsidRDefault="00A2502C" w:rsidP="00092477">
            <w:pPr>
              <w:pStyle w:val="TableText"/>
              <w:jc w:val="center"/>
              <w:rPr>
                <w:rFonts w:cs="Arial"/>
                <w:b/>
                <w:bCs/>
                <w:sz w:val="28"/>
                <w:szCs w:val="28"/>
              </w:rPr>
            </w:pPr>
            <w:r w:rsidRPr="004B77AE">
              <w:rPr>
                <w:rFonts w:cs="Arial"/>
                <w:b/>
                <w:bCs/>
                <w:sz w:val="20"/>
                <w:szCs w:val="20"/>
              </w:rPr>
              <w:t>Achieving</w:t>
            </w:r>
            <w:r w:rsidRPr="004B77AE" w:rsidDel="00A2502C">
              <w:rPr>
                <w:rFonts w:cs="Arial"/>
                <w:b/>
                <w:bCs/>
                <w:sz w:val="36"/>
                <w:szCs w:val="36"/>
              </w:rPr>
              <w:t xml:space="preserve"> </w:t>
            </w:r>
          </w:p>
        </w:tc>
        <w:tc>
          <w:tcPr>
            <w:tcW w:w="2138" w:type="dxa"/>
          </w:tcPr>
          <w:p w14:paraId="33E7EE55" w14:textId="77777777" w:rsidR="00087279" w:rsidRPr="004B77AE" w:rsidRDefault="00087279" w:rsidP="00092477">
            <w:pPr>
              <w:pStyle w:val="TableText"/>
              <w:rPr>
                <w:rFonts w:cs="Arial"/>
              </w:rPr>
            </w:pPr>
            <w:r w:rsidRPr="004B77AE">
              <w:rPr>
                <w:rFonts w:cs="Arial"/>
                <w:b/>
                <w:bCs/>
              </w:rPr>
              <w:t>Diane-Kareen Charles</w:t>
            </w:r>
          </w:p>
          <w:p w14:paraId="63AEF57D" w14:textId="77777777" w:rsidR="00087279" w:rsidRPr="004B77AE" w:rsidRDefault="00087279" w:rsidP="00092477">
            <w:pPr>
              <w:pStyle w:val="TableText"/>
              <w:rPr>
                <w:rFonts w:cs="Arial"/>
              </w:rPr>
            </w:pPr>
            <w:r w:rsidRPr="004B77AE">
              <w:rPr>
                <w:rFonts w:cs="Arial"/>
              </w:rPr>
              <w:t>Deputy Chief Nurse and Director of Quality</w:t>
            </w:r>
          </w:p>
          <w:p w14:paraId="4A0CA89B" w14:textId="77777777" w:rsidR="00087279" w:rsidRPr="004B77AE" w:rsidRDefault="00087279" w:rsidP="00092477">
            <w:pPr>
              <w:pStyle w:val="TableText"/>
              <w:rPr>
                <w:rFonts w:cs="Arial"/>
              </w:rPr>
            </w:pPr>
          </w:p>
          <w:p w14:paraId="30316170" w14:textId="732CFC4E" w:rsidR="00087279" w:rsidRPr="004B77AE" w:rsidRDefault="00087279" w:rsidP="00092477">
            <w:pPr>
              <w:pStyle w:val="TableText"/>
              <w:rPr>
                <w:rFonts w:cs="Arial"/>
              </w:rPr>
            </w:pPr>
          </w:p>
        </w:tc>
      </w:tr>
      <w:tr w:rsidR="00087279" w:rsidRPr="004B77AE" w14:paraId="16DB3463" w14:textId="77777777" w:rsidTr="00BE770C">
        <w:trPr>
          <w:cantSplit/>
          <w:trHeight w:val="1134"/>
        </w:trPr>
        <w:tc>
          <w:tcPr>
            <w:tcW w:w="1093" w:type="dxa"/>
            <w:shd w:val="clear" w:color="auto" w:fill="BDDEFF" w:themeFill="accent1" w:themeFillTint="33"/>
            <w:textDirection w:val="btLr"/>
          </w:tcPr>
          <w:p w14:paraId="0CF890DE" w14:textId="77777777" w:rsidR="00BE770C" w:rsidRPr="004B77AE" w:rsidRDefault="00BE770C" w:rsidP="00BE770C">
            <w:pPr>
              <w:ind w:left="113" w:right="113"/>
              <w:jc w:val="center"/>
              <w:rPr>
                <w:rFonts w:cs="Arial"/>
                <w:b/>
                <w:sz w:val="32"/>
                <w:szCs w:val="32"/>
              </w:rPr>
            </w:pPr>
            <w:r w:rsidRPr="004B77AE">
              <w:rPr>
                <w:rFonts w:cs="Arial"/>
                <w:b/>
                <w:sz w:val="32"/>
                <w:szCs w:val="32"/>
              </w:rPr>
              <w:lastRenderedPageBreak/>
              <w:t xml:space="preserve">Domain 1: Commissioned or provided </w:t>
            </w:r>
            <w:proofErr w:type="gramStart"/>
            <w:r w:rsidRPr="004B77AE">
              <w:rPr>
                <w:rFonts w:cs="Arial"/>
                <w:b/>
                <w:sz w:val="32"/>
                <w:szCs w:val="32"/>
              </w:rPr>
              <w:t>services</w:t>
            </w:r>
            <w:proofErr w:type="gramEnd"/>
          </w:p>
          <w:p w14:paraId="01341F2E" w14:textId="77777777" w:rsidR="00087279" w:rsidRPr="004B77AE" w:rsidRDefault="00087279" w:rsidP="00BE770C">
            <w:pPr>
              <w:ind w:left="113" w:right="113"/>
              <w:rPr>
                <w:rFonts w:cs="Arial"/>
              </w:rPr>
            </w:pPr>
          </w:p>
        </w:tc>
        <w:tc>
          <w:tcPr>
            <w:tcW w:w="3250" w:type="dxa"/>
            <w:gridSpan w:val="2"/>
            <w:shd w:val="clear" w:color="auto" w:fill="BDDEFF" w:themeFill="accent1" w:themeFillTint="33"/>
            <w:vAlign w:val="center"/>
          </w:tcPr>
          <w:p w14:paraId="479CEB12" w14:textId="77777777" w:rsidR="00087279" w:rsidRPr="004B77AE" w:rsidRDefault="00087279" w:rsidP="00092477">
            <w:pPr>
              <w:rPr>
                <w:rFonts w:cs="Arial"/>
              </w:rPr>
            </w:pPr>
            <w:r w:rsidRPr="004B77AE">
              <w:rPr>
                <w:rFonts w:cs="Arial"/>
              </w:rPr>
              <w:t>1C: When p</w:t>
            </w:r>
            <w:r w:rsidRPr="004B77AE">
              <w:rPr>
                <w:rFonts w:cs="Arial"/>
                <w:bCs/>
              </w:rPr>
              <w:t xml:space="preserve">atients (service users) </w:t>
            </w:r>
            <w:r w:rsidRPr="004B77AE">
              <w:rPr>
                <w:rFonts w:cs="Arial"/>
              </w:rPr>
              <w:t>use the service, they are free from harm</w:t>
            </w:r>
          </w:p>
        </w:tc>
        <w:tc>
          <w:tcPr>
            <w:tcW w:w="7694" w:type="dxa"/>
            <w:gridSpan w:val="2"/>
          </w:tcPr>
          <w:p w14:paraId="2D98A4A0" w14:textId="77777777" w:rsidR="00176A34" w:rsidRDefault="00176A34" w:rsidP="00092477">
            <w:pPr>
              <w:pStyle w:val="TableText"/>
              <w:rPr>
                <w:rFonts w:cs="Arial"/>
                <w:b/>
                <w:bCs/>
              </w:rPr>
            </w:pPr>
            <w:r>
              <w:rPr>
                <w:rFonts w:cs="Arial"/>
                <w:b/>
                <w:bCs/>
              </w:rPr>
              <w:t>General</w:t>
            </w:r>
          </w:p>
          <w:p w14:paraId="53F05B00" w14:textId="77777777" w:rsidR="00176A34" w:rsidRDefault="00176A34" w:rsidP="00092477">
            <w:pPr>
              <w:pStyle w:val="TableText"/>
              <w:rPr>
                <w:rFonts w:cs="Arial"/>
              </w:rPr>
            </w:pPr>
            <w:r>
              <w:rPr>
                <w:rFonts w:cs="Arial"/>
              </w:rPr>
              <w:t xml:space="preserve">The safety of all services is overseen by assurance and monitoring processes in line with the national quality board guidance. Where concerns are escalated or services and providers under enhanced surveillance the differential </w:t>
            </w:r>
            <w:proofErr w:type="gramStart"/>
            <w:r>
              <w:rPr>
                <w:rFonts w:cs="Arial"/>
              </w:rPr>
              <w:t>impacts</w:t>
            </w:r>
            <w:proofErr w:type="gramEnd"/>
            <w:r>
              <w:rPr>
                <w:rFonts w:cs="Arial"/>
              </w:rPr>
              <w:t xml:space="preserve"> on our population is assess.</w:t>
            </w:r>
            <w:r>
              <w:rPr>
                <w:rFonts w:cs="Arial"/>
              </w:rPr>
              <w:br/>
            </w:r>
            <w:r>
              <w:rPr>
                <w:rFonts w:cs="Arial"/>
              </w:rPr>
              <w:br/>
              <w:t>Maternity and the role of the ISA as detailed above is an example of this and a review of the local maternity position in relation to our population, quality, equality and service delivery showing differential impacts on different communities was presented at a number of committees in Q4 23/24. This showed the differential impact in relation to safety across population groups and the actions being taken to address these.</w:t>
            </w:r>
          </w:p>
          <w:p w14:paraId="7DEC2CF4" w14:textId="77777777" w:rsidR="00920554" w:rsidRPr="004B77AE" w:rsidRDefault="00920554" w:rsidP="00092477">
            <w:pPr>
              <w:pStyle w:val="TableText"/>
              <w:rPr>
                <w:rFonts w:cs="Arial"/>
              </w:rPr>
            </w:pPr>
          </w:p>
          <w:p w14:paraId="4A054FBD" w14:textId="75BBACCD" w:rsidR="00087279" w:rsidRPr="004B77AE" w:rsidRDefault="00BA7E91" w:rsidP="00092477">
            <w:pPr>
              <w:pStyle w:val="TableText"/>
              <w:rPr>
                <w:rFonts w:cs="Arial"/>
              </w:rPr>
            </w:pPr>
            <w:r w:rsidRPr="004B77AE">
              <w:rPr>
                <w:rFonts w:cs="Arial"/>
                <w:b/>
                <w:bCs/>
              </w:rPr>
              <w:t>Service 1 – Talking Therapies</w:t>
            </w:r>
          </w:p>
          <w:p w14:paraId="071AA672" w14:textId="77777777" w:rsidR="001A6DDA" w:rsidRPr="004B77AE" w:rsidRDefault="001A6DDA" w:rsidP="00092477">
            <w:pPr>
              <w:pStyle w:val="TableText"/>
              <w:rPr>
                <w:rFonts w:cs="Arial"/>
              </w:rPr>
            </w:pPr>
            <w:r w:rsidRPr="004B77AE">
              <w:rPr>
                <w:rFonts w:cs="Arial"/>
              </w:rPr>
              <w:t xml:space="preserve">Improved patient safety is demonstrated through the development of new relationships and pathways with the local mental health trust, enabling the seamless step up or down of patients and avoiding bounce back to GPs and supporting the principle of no wrong door. The two services are currently implementing the new NHS England (July 2023) </w:t>
            </w:r>
            <w:r w:rsidRPr="004B77AE">
              <w:rPr>
                <w:rFonts w:cs="Arial"/>
                <w:i/>
                <w:iCs/>
              </w:rPr>
              <w:t>Community Mental Health and NHS Talking Therapies for anxiety and depression: National Guidance to support seamless and person-centred access to appropriate mental health care</w:t>
            </w:r>
            <w:r w:rsidRPr="004B77AE">
              <w:rPr>
                <w:rFonts w:cs="Arial"/>
              </w:rPr>
              <w:t xml:space="preserve">.  The new </w:t>
            </w:r>
            <w:r w:rsidRPr="004B77AE">
              <w:rPr>
                <w:rFonts w:cs="Arial"/>
              </w:rPr>
              <w:lastRenderedPageBreak/>
              <w:t>service also now regularly attends the Trust’s daily clinical triage meetings to support appropriate pathway placement of patients.</w:t>
            </w:r>
          </w:p>
          <w:p w14:paraId="2A7F0794" w14:textId="77777777" w:rsidR="00323EF4" w:rsidRPr="004B77AE" w:rsidRDefault="00323EF4" w:rsidP="00092477">
            <w:pPr>
              <w:pStyle w:val="TableText"/>
              <w:rPr>
                <w:rFonts w:cs="Arial"/>
              </w:rPr>
            </w:pPr>
          </w:p>
          <w:p w14:paraId="4DA45EEC" w14:textId="5C131772" w:rsidR="00323EF4" w:rsidRPr="004B77AE" w:rsidRDefault="00323EF4" w:rsidP="00092477">
            <w:pPr>
              <w:pStyle w:val="TableText"/>
              <w:rPr>
                <w:rFonts w:cs="Arial"/>
              </w:rPr>
            </w:pPr>
            <w:r w:rsidRPr="004B77AE">
              <w:rPr>
                <w:rFonts w:cs="Arial"/>
              </w:rPr>
              <w:t xml:space="preserve">The service continues to have a positive impact on Safeguarding through ensuring appropriately trained staff, safeguarding </w:t>
            </w:r>
            <w:proofErr w:type="gramStart"/>
            <w:r w:rsidRPr="004B77AE">
              <w:rPr>
                <w:rFonts w:cs="Arial"/>
              </w:rPr>
              <w:t>policies</w:t>
            </w:r>
            <w:proofErr w:type="gramEnd"/>
            <w:r w:rsidRPr="004B77AE">
              <w:rPr>
                <w:rFonts w:cs="Arial"/>
              </w:rPr>
              <w:t xml:space="preserve"> and routes for escalation, as well as supervision for clinical staff working with patients whose anxiety and depression stems from harm or abuse.</w:t>
            </w:r>
          </w:p>
          <w:p w14:paraId="18B54964" w14:textId="77777777" w:rsidR="0061339D" w:rsidRPr="004B77AE" w:rsidRDefault="0061339D" w:rsidP="00092477">
            <w:pPr>
              <w:pStyle w:val="TableText"/>
              <w:rPr>
                <w:rFonts w:cs="Arial"/>
              </w:rPr>
            </w:pPr>
          </w:p>
          <w:p w14:paraId="1895DB66" w14:textId="4D7B3EAD" w:rsidR="006F2E7B" w:rsidRPr="004B77AE" w:rsidRDefault="00BA7E91" w:rsidP="00092477">
            <w:pPr>
              <w:pStyle w:val="TableText"/>
              <w:rPr>
                <w:rFonts w:cs="Arial"/>
                <w:b/>
                <w:bCs/>
              </w:rPr>
            </w:pPr>
            <w:r w:rsidRPr="004B77AE">
              <w:rPr>
                <w:rFonts w:cs="Arial"/>
                <w:b/>
                <w:bCs/>
              </w:rPr>
              <w:t xml:space="preserve">Service 2 – Home Enteral Feeding and Dietetics Service </w:t>
            </w:r>
          </w:p>
          <w:p w14:paraId="7D4B95C9" w14:textId="049DE4EE" w:rsidR="006F2E7B" w:rsidRPr="004B77AE" w:rsidRDefault="006F2E7B" w:rsidP="00092477">
            <w:pPr>
              <w:pStyle w:val="TableText"/>
              <w:tabs>
                <w:tab w:val="left" w:pos="1699"/>
              </w:tabs>
              <w:rPr>
                <w:rFonts w:cs="Arial"/>
                <w:lang w:val="en-US"/>
              </w:rPr>
            </w:pPr>
            <w:r w:rsidRPr="004B77AE">
              <w:rPr>
                <w:rFonts w:cs="Arial"/>
                <w:lang w:val="en-US"/>
              </w:rPr>
              <w:t xml:space="preserve">This service is available to patients aged 18+ with a clinical need in Bassetlaw. Improved accessibility is critical in Bassetlaw due to its high level of rurality and poor transport infrastructure. </w:t>
            </w:r>
            <w:proofErr w:type="gramStart"/>
            <w:r w:rsidR="00A2502C">
              <w:rPr>
                <w:rFonts w:cs="Arial"/>
                <w:lang w:val="en-US"/>
              </w:rPr>
              <w:t>Therefore</w:t>
            </w:r>
            <w:proofErr w:type="gramEnd"/>
            <w:r w:rsidR="00A2502C">
              <w:rPr>
                <w:rFonts w:cs="Arial"/>
                <w:lang w:val="en-US"/>
              </w:rPr>
              <w:t xml:space="preserve"> this service supports patient saf</w:t>
            </w:r>
            <w:r w:rsidR="00176A34">
              <w:rPr>
                <w:rFonts w:cs="Arial"/>
                <w:lang w:val="en-US"/>
              </w:rPr>
              <w:t>e</w:t>
            </w:r>
            <w:r w:rsidR="00A2502C">
              <w:rPr>
                <w:rFonts w:cs="Arial"/>
                <w:lang w:val="en-US"/>
              </w:rPr>
              <w:t>ty by ensuring t</w:t>
            </w:r>
            <w:r w:rsidRPr="004B77AE">
              <w:rPr>
                <w:rFonts w:cs="Arial"/>
                <w:lang w:val="en-US"/>
              </w:rPr>
              <w:t xml:space="preserve">imely provision in the community prevents hospital admissions and meets the needs of this vulnerable cohort. </w:t>
            </w:r>
          </w:p>
          <w:p w14:paraId="33FEBDDA" w14:textId="77777777" w:rsidR="00087279" w:rsidRPr="004B77AE" w:rsidRDefault="00087279" w:rsidP="00092477">
            <w:pPr>
              <w:pStyle w:val="TableText"/>
              <w:rPr>
                <w:rFonts w:cs="Arial"/>
              </w:rPr>
            </w:pPr>
          </w:p>
          <w:p w14:paraId="4EC622DF" w14:textId="1FBE8442" w:rsidR="00087279" w:rsidRPr="004B77AE" w:rsidRDefault="00BA7E91" w:rsidP="00092477">
            <w:pPr>
              <w:pStyle w:val="TableText"/>
              <w:rPr>
                <w:rFonts w:cs="Arial"/>
              </w:rPr>
            </w:pPr>
            <w:r w:rsidRPr="004B77AE">
              <w:rPr>
                <w:rFonts w:cs="Arial"/>
                <w:b/>
                <w:bCs/>
              </w:rPr>
              <w:t xml:space="preserve">Service 3 – Commissioning P3 Beds in Care and Nursing Homes </w:t>
            </w:r>
          </w:p>
          <w:p w14:paraId="69F2F6B1" w14:textId="4DD3B138" w:rsidR="00A2502C" w:rsidRPr="00A2502C" w:rsidRDefault="00C378FB" w:rsidP="00092477">
            <w:pPr>
              <w:pStyle w:val="TableText"/>
              <w:rPr>
                <w:rFonts w:cs="Arial"/>
              </w:rPr>
            </w:pPr>
            <w:r w:rsidRPr="004B77AE">
              <w:rPr>
                <w:rFonts w:cs="Arial"/>
              </w:rPr>
              <w:t>Care homes will follow their usual process for safety and risk assessments including care planning and referral to services as required.</w:t>
            </w:r>
          </w:p>
        </w:tc>
        <w:tc>
          <w:tcPr>
            <w:tcW w:w="1271" w:type="dxa"/>
            <w:shd w:val="clear" w:color="auto" w:fill="B3E1F5" w:themeFill="accent4" w:themeFillTint="66"/>
            <w:vAlign w:val="center"/>
          </w:tcPr>
          <w:p w14:paraId="41A7DB3E" w14:textId="77777777" w:rsidR="00087279" w:rsidRPr="004B77AE" w:rsidRDefault="00087279" w:rsidP="00092477">
            <w:pPr>
              <w:pStyle w:val="TableText"/>
              <w:jc w:val="center"/>
              <w:rPr>
                <w:rFonts w:cs="Arial"/>
                <w:b/>
                <w:bCs/>
                <w:sz w:val="36"/>
                <w:szCs w:val="36"/>
              </w:rPr>
            </w:pPr>
            <w:r w:rsidRPr="004B77AE">
              <w:rPr>
                <w:rFonts w:cs="Arial"/>
                <w:b/>
                <w:bCs/>
                <w:sz w:val="36"/>
                <w:szCs w:val="36"/>
              </w:rPr>
              <w:lastRenderedPageBreak/>
              <w:t>1</w:t>
            </w:r>
          </w:p>
          <w:p w14:paraId="28EED1D9" w14:textId="5F929F21" w:rsidR="00087279" w:rsidRPr="004B77AE" w:rsidRDefault="00087279" w:rsidP="00092477">
            <w:pPr>
              <w:pStyle w:val="TableText"/>
              <w:jc w:val="center"/>
              <w:rPr>
                <w:rFonts w:cs="Arial"/>
                <w:b/>
                <w:bCs/>
                <w:sz w:val="28"/>
                <w:szCs w:val="28"/>
              </w:rPr>
            </w:pPr>
            <w:r w:rsidRPr="004B77AE">
              <w:rPr>
                <w:rFonts w:cs="Arial"/>
                <w:b/>
                <w:bCs/>
                <w:sz w:val="20"/>
                <w:szCs w:val="20"/>
              </w:rPr>
              <w:t>Developing</w:t>
            </w:r>
          </w:p>
        </w:tc>
        <w:tc>
          <w:tcPr>
            <w:tcW w:w="2138" w:type="dxa"/>
          </w:tcPr>
          <w:p w14:paraId="5DDF8070" w14:textId="77777777" w:rsidR="00087279" w:rsidRPr="004B77AE" w:rsidRDefault="00087279" w:rsidP="00092477">
            <w:pPr>
              <w:pStyle w:val="TableText"/>
              <w:rPr>
                <w:rFonts w:cs="Arial"/>
              </w:rPr>
            </w:pPr>
            <w:r w:rsidRPr="004B77AE">
              <w:rPr>
                <w:rFonts w:cs="Arial"/>
                <w:b/>
                <w:bCs/>
              </w:rPr>
              <w:t>Diane-Kareen Charles</w:t>
            </w:r>
          </w:p>
          <w:p w14:paraId="624F28AB" w14:textId="77777777" w:rsidR="00087279" w:rsidRPr="004B77AE" w:rsidRDefault="00087279" w:rsidP="00092477">
            <w:pPr>
              <w:pStyle w:val="TableText"/>
              <w:rPr>
                <w:rFonts w:cs="Arial"/>
              </w:rPr>
            </w:pPr>
            <w:r w:rsidRPr="004B77AE">
              <w:rPr>
                <w:rFonts w:cs="Arial"/>
              </w:rPr>
              <w:t>Deputy Chief Nurse and Director of Quality</w:t>
            </w:r>
          </w:p>
          <w:p w14:paraId="11D81C1D" w14:textId="77777777" w:rsidR="00087279" w:rsidRPr="004B77AE" w:rsidRDefault="00087279" w:rsidP="00092477">
            <w:pPr>
              <w:pStyle w:val="TableText"/>
              <w:rPr>
                <w:rFonts w:cs="Arial"/>
              </w:rPr>
            </w:pPr>
          </w:p>
          <w:p w14:paraId="6CF53ABC" w14:textId="2ECCC686" w:rsidR="00087279" w:rsidRPr="004B77AE" w:rsidRDefault="00087279" w:rsidP="00092477">
            <w:pPr>
              <w:pStyle w:val="TableText"/>
              <w:rPr>
                <w:rFonts w:cs="Arial"/>
              </w:rPr>
            </w:pPr>
          </w:p>
        </w:tc>
      </w:tr>
      <w:tr w:rsidR="00087279" w:rsidRPr="004B77AE" w14:paraId="212B6E4D" w14:textId="77777777" w:rsidTr="00BE770C">
        <w:trPr>
          <w:cantSplit/>
          <w:trHeight w:val="1134"/>
        </w:trPr>
        <w:tc>
          <w:tcPr>
            <w:tcW w:w="1093" w:type="dxa"/>
            <w:shd w:val="clear" w:color="auto" w:fill="BDDEFF" w:themeFill="accent1" w:themeFillTint="33"/>
            <w:textDirection w:val="btLr"/>
          </w:tcPr>
          <w:p w14:paraId="60117A7A" w14:textId="77777777" w:rsidR="00BE770C" w:rsidRPr="004B77AE" w:rsidRDefault="00BE770C" w:rsidP="00BE770C">
            <w:pPr>
              <w:ind w:left="113" w:right="113"/>
              <w:rPr>
                <w:rFonts w:cs="Arial"/>
                <w:b/>
                <w:sz w:val="32"/>
                <w:szCs w:val="32"/>
              </w:rPr>
            </w:pPr>
            <w:r w:rsidRPr="004B77AE">
              <w:rPr>
                <w:rFonts w:cs="Arial"/>
                <w:b/>
                <w:sz w:val="32"/>
                <w:szCs w:val="32"/>
              </w:rPr>
              <w:t xml:space="preserve">Domain 1: Commissioned or provided </w:t>
            </w:r>
            <w:proofErr w:type="gramStart"/>
            <w:r w:rsidRPr="004B77AE">
              <w:rPr>
                <w:rFonts w:cs="Arial"/>
                <w:b/>
                <w:sz w:val="32"/>
                <w:szCs w:val="32"/>
              </w:rPr>
              <w:t>services</w:t>
            </w:r>
            <w:proofErr w:type="gramEnd"/>
          </w:p>
          <w:p w14:paraId="727577A1" w14:textId="77777777" w:rsidR="00087279" w:rsidRPr="004B77AE" w:rsidRDefault="00087279" w:rsidP="00BE770C">
            <w:pPr>
              <w:ind w:left="113" w:right="113"/>
              <w:rPr>
                <w:rFonts w:cs="Arial"/>
              </w:rPr>
            </w:pPr>
          </w:p>
        </w:tc>
        <w:tc>
          <w:tcPr>
            <w:tcW w:w="3250" w:type="dxa"/>
            <w:gridSpan w:val="2"/>
            <w:shd w:val="clear" w:color="auto" w:fill="BDDEFF" w:themeFill="accent1" w:themeFillTint="33"/>
            <w:vAlign w:val="center"/>
          </w:tcPr>
          <w:p w14:paraId="1F7B4823" w14:textId="77777777" w:rsidR="00087279" w:rsidRPr="004B77AE" w:rsidRDefault="00087279" w:rsidP="00092477">
            <w:pPr>
              <w:rPr>
                <w:rFonts w:cs="Arial"/>
              </w:rPr>
            </w:pPr>
            <w:r w:rsidRPr="004B77AE">
              <w:rPr>
                <w:rFonts w:cs="Arial"/>
              </w:rPr>
              <w:t xml:space="preserve">1D: </w:t>
            </w:r>
            <w:r w:rsidRPr="004B77AE">
              <w:rPr>
                <w:rFonts w:cs="Arial"/>
                <w:bCs/>
              </w:rPr>
              <w:t xml:space="preserve">Patients (service users) </w:t>
            </w:r>
            <w:r w:rsidRPr="004B77AE">
              <w:rPr>
                <w:rFonts w:cs="Arial"/>
              </w:rPr>
              <w:t>report positive experiences of the service</w:t>
            </w:r>
          </w:p>
        </w:tc>
        <w:tc>
          <w:tcPr>
            <w:tcW w:w="7694" w:type="dxa"/>
            <w:gridSpan w:val="2"/>
          </w:tcPr>
          <w:p w14:paraId="035876FE" w14:textId="77777777" w:rsidR="00176A34" w:rsidRPr="004A3123" w:rsidRDefault="00176A34" w:rsidP="00092477">
            <w:pPr>
              <w:pStyle w:val="TableText"/>
              <w:rPr>
                <w:rFonts w:cs="Arial"/>
                <w:b/>
                <w:bCs/>
              </w:rPr>
            </w:pPr>
            <w:r w:rsidRPr="004A3123">
              <w:rPr>
                <w:rFonts w:cs="Arial"/>
                <w:b/>
                <w:bCs/>
              </w:rPr>
              <w:t>General</w:t>
            </w:r>
          </w:p>
          <w:p w14:paraId="73D99B87" w14:textId="77777777" w:rsidR="00176A34" w:rsidRDefault="00176A34" w:rsidP="00092477">
            <w:pPr>
              <w:pStyle w:val="TableText"/>
              <w:rPr>
                <w:rFonts w:cs="Arial"/>
              </w:rPr>
            </w:pPr>
          </w:p>
          <w:p w14:paraId="7E307F27" w14:textId="59A94716" w:rsidR="00176A34" w:rsidRDefault="00176A34" w:rsidP="00092477">
            <w:pPr>
              <w:pStyle w:val="TableText"/>
              <w:rPr>
                <w:rFonts w:cs="Arial"/>
              </w:rPr>
            </w:pPr>
            <w:r>
              <w:rPr>
                <w:rFonts w:cs="Arial"/>
              </w:rPr>
              <w:t xml:space="preserve">Engagement with people who use our services has significantly iterated and. The shared response to SEND improvements in the County started with some real dissatisfaction from patients and carers (May 2023). Continued engagement and improvement </w:t>
            </w:r>
            <w:proofErr w:type="gramStart"/>
            <w:r>
              <w:rPr>
                <w:rFonts w:cs="Arial"/>
              </w:rPr>
              <w:t>has</w:t>
            </w:r>
            <w:proofErr w:type="gramEnd"/>
            <w:r>
              <w:rPr>
                <w:rFonts w:cs="Arial"/>
              </w:rPr>
              <w:t xml:space="preserve"> meant that In the latest round of engagement (April 2024) has given much more positive feedback about peoples experience. This is demonstrated by the narrative included in the Independent SEND Improvement and Oversight Board chaired by Dame Christine Lenehan,</w:t>
            </w:r>
          </w:p>
          <w:p w14:paraId="258AF7C7" w14:textId="77777777" w:rsidR="00176A34" w:rsidRDefault="00176A34" w:rsidP="00092477">
            <w:pPr>
              <w:pStyle w:val="TableText"/>
              <w:rPr>
                <w:rFonts w:cs="Arial"/>
              </w:rPr>
            </w:pPr>
          </w:p>
          <w:p w14:paraId="5F504377" w14:textId="2F5DD518" w:rsidR="00176A34" w:rsidRPr="00A2502C" w:rsidRDefault="00176A34" w:rsidP="00092477">
            <w:pPr>
              <w:pStyle w:val="TableText"/>
              <w:rPr>
                <w:rFonts w:cs="Arial"/>
              </w:rPr>
            </w:pPr>
            <w:r w:rsidRPr="00A2502C">
              <w:rPr>
                <w:rFonts w:cs="Arial"/>
              </w:rPr>
              <w:t xml:space="preserve">The ICB Patient and Public Engagement processes are described in </w:t>
            </w:r>
            <w:r w:rsidR="0095676B">
              <w:rPr>
                <w:rFonts w:cs="Arial"/>
              </w:rPr>
              <w:fldChar w:fldCharType="begin"/>
            </w:r>
            <w:r w:rsidR="0095676B">
              <w:rPr>
                <w:rFonts w:cs="Arial"/>
              </w:rPr>
              <w:instrText xml:space="preserve"> REF _Ref166833982 \h </w:instrText>
            </w:r>
            <w:r w:rsidR="0095676B">
              <w:rPr>
                <w:rFonts w:cs="Arial"/>
              </w:rPr>
            </w:r>
            <w:r w:rsidR="0095676B">
              <w:rPr>
                <w:rFonts w:cs="Arial"/>
              </w:rPr>
              <w:fldChar w:fldCharType="separate"/>
            </w:r>
            <w:r w:rsidR="0095676B" w:rsidRPr="004A3123">
              <w:t>Appendix 2 – ICB Patient and Public Engagement</w:t>
            </w:r>
            <w:r w:rsidR="0095676B">
              <w:rPr>
                <w:rFonts w:cs="Arial"/>
              </w:rPr>
              <w:fldChar w:fldCharType="end"/>
            </w:r>
          </w:p>
          <w:p w14:paraId="25391296" w14:textId="77777777" w:rsidR="00176A34" w:rsidRPr="00A2502C" w:rsidRDefault="00176A34" w:rsidP="00092477">
            <w:pPr>
              <w:pStyle w:val="TableText"/>
              <w:rPr>
                <w:rFonts w:cs="Arial"/>
              </w:rPr>
            </w:pPr>
          </w:p>
          <w:p w14:paraId="198ABC9E" w14:textId="19BAD7F2" w:rsidR="00176A34" w:rsidRPr="00A2502C" w:rsidRDefault="00176A34" w:rsidP="00092477">
            <w:pPr>
              <w:pStyle w:val="TableText"/>
              <w:rPr>
                <w:rFonts w:cs="Arial"/>
              </w:rPr>
            </w:pPr>
            <w:r w:rsidRPr="00A2502C">
              <w:rPr>
                <w:rFonts w:cs="Arial"/>
              </w:rPr>
              <w:t xml:space="preserve">The ICB’s Co-production Processes and strategy summary are detailed in </w:t>
            </w:r>
            <w:r w:rsidR="0095676B">
              <w:rPr>
                <w:rFonts w:cs="Arial"/>
              </w:rPr>
              <w:fldChar w:fldCharType="begin"/>
            </w:r>
            <w:r w:rsidR="0095676B">
              <w:rPr>
                <w:rFonts w:cs="Arial"/>
              </w:rPr>
              <w:instrText xml:space="preserve"> REF _Ref166834005 \h </w:instrText>
            </w:r>
            <w:r w:rsidR="0095676B">
              <w:rPr>
                <w:rFonts w:cs="Arial"/>
              </w:rPr>
            </w:r>
            <w:r w:rsidR="0095676B">
              <w:rPr>
                <w:rFonts w:cs="Arial"/>
              </w:rPr>
              <w:fldChar w:fldCharType="separate"/>
            </w:r>
            <w:r w:rsidR="0095676B" w:rsidRPr="004A3123">
              <w:t>Appendix 3 – ICB Co-production Processes</w:t>
            </w:r>
            <w:r w:rsidR="0095676B">
              <w:rPr>
                <w:rFonts w:cs="Arial"/>
              </w:rPr>
              <w:fldChar w:fldCharType="end"/>
            </w:r>
            <w:r w:rsidRPr="00A2502C">
              <w:rPr>
                <w:rFonts w:cs="Arial"/>
              </w:rPr>
              <w:t>.</w:t>
            </w:r>
          </w:p>
          <w:p w14:paraId="47B33941" w14:textId="77777777" w:rsidR="00920554" w:rsidRDefault="00920554" w:rsidP="00092477">
            <w:pPr>
              <w:pStyle w:val="TableText"/>
              <w:rPr>
                <w:rFonts w:cs="Arial"/>
              </w:rPr>
            </w:pPr>
          </w:p>
          <w:p w14:paraId="315FE440" w14:textId="5588BADA" w:rsidR="00EE19D4" w:rsidRDefault="00EE19D4" w:rsidP="00092477">
            <w:pPr>
              <w:pStyle w:val="TableText"/>
              <w:rPr>
                <w:rFonts w:cs="Arial"/>
              </w:rPr>
            </w:pPr>
            <w:r w:rsidRPr="00EE19D4">
              <w:rPr>
                <w:rFonts w:cs="Arial"/>
              </w:rPr>
              <w:t xml:space="preserve">Of the services selected, the provider rather than the ICB have led on specific patient or service user engagement or co-production activities during 2023/24. The Talking Therapies provider has undertaken extensive co-production for this service and examples of this are summarised in </w:t>
            </w:r>
            <w:r w:rsidR="0095676B">
              <w:rPr>
                <w:rFonts w:cs="Arial"/>
              </w:rPr>
              <w:fldChar w:fldCharType="begin"/>
            </w:r>
            <w:r w:rsidR="0095676B">
              <w:rPr>
                <w:rFonts w:cs="Arial"/>
              </w:rPr>
              <w:instrText xml:space="preserve"> REF _Ref166834015 \h </w:instrText>
            </w:r>
            <w:r w:rsidR="0095676B">
              <w:rPr>
                <w:rFonts w:cs="Arial"/>
              </w:rPr>
            </w:r>
            <w:r w:rsidR="0095676B">
              <w:rPr>
                <w:rFonts w:cs="Arial"/>
              </w:rPr>
              <w:fldChar w:fldCharType="separate"/>
            </w:r>
            <w:r w:rsidR="0095676B" w:rsidRPr="004A3123">
              <w:t>Appendix 4 – Co-Production Examples for Talking Therapies</w:t>
            </w:r>
            <w:r w:rsidR="0095676B">
              <w:rPr>
                <w:rFonts w:cs="Arial"/>
              </w:rPr>
              <w:fldChar w:fldCharType="end"/>
            </w:r>
            <w:r w:rsidRPr="00EE19D4">
              <w:rPr>
                <w:rFonts w:cs="Arial"/>
              </w:rPr>
              <w:t>.</w:t>
            </w:r>
          </w:p>
          <w:p w14:paraId="59C5791B" w14:textId="77777777" w:rsidR="004A3123" w:rsidRPr="004B77AE" w:rsidRDefault="004A3123" w:rsidP="00092477">
            <w:pPr>
              <w:pStyle w:val="TableText"/>
              <w:rPr>
                <w:rFonts w:cs="Arial"/>
              </w:rPr>
            </w:pPr>
          </w:p>
          <w:p w14:paraId="745CAE2D" w14:textId="2C5D3F14" w:rsidR="00087279" w:rsidRPr="004B77AE" w:rsidRDefault="00BA7E91" w:rsidP="00092477">
            <w:pPr>
              <w:pStyle w:val="TableText"/>
              <w:rPr>
                <w:rFonts w:cs="Arial"/>
              </w:rPr>
            </w:pPr>
            <w:r w:rsidRPr="004B77AE">
              <w:rPr>
                <w:rFonts w:cs="Arial"/>
                <w:b/>
                <w:bCs/>
              </w:rPr>
              <w:t>Service 1 – Talking Therapies</w:t>
            </w:r>
          </w:p>
          <w:p w14:paraId="2292EFAF" w14:textId="1983C4C5" w:rsidR="00087279" w:rsidRPr="004B77AE" w:rsidRDefault="00087279" w:rsidP="00092477">
            <w:pPr>
              <w:pStyle w:val="TableText"/>
              <w:rPr>
                <w:rFonts w:cs="Arial"/>
              </w:rPr>
            </w:pPr>
            <w:r w:rsidRPr="004B77AE">
              <w:rPr>
                <w:rFonts w:cs="Arial"/>
              </w:rPr>
              <w:t xml:space="preserve">The service routinely undertakes reviews of </w:t>
            </w:r>
            <w:r w:rsidR="00092477" w:rsidRPr="004B77AE">
              <w:rPr>
                <w:rFonts w:cs="Arial"/>
              </w:rPr>
              <w:t>itself and</w:t>
            </w:r>
            <w:r w:rsidRPr="004B77AE">
              <w:rPr>
                <w:rFonts w:cs="Arial"/>
              </w:rPr>
              <w:t xml:space="preserve"> seeks the views of service users through surveys.  The new service has improved ways of gathering, reporting and utilising patient feedback. </w:t>
            </w:r>
            <w:r w:rsidR="00092477">
              <w:rPr>
                <w:rFonts w:cs="Arial"/>
              </w:rPr>
              <w:t xml:space="preserve">As of </w:t>
            </w:r>
            <w:r w:rsidRPr="004B77AE">
              <w:rPr>
                <w:rFonts w:cs="Arial"/>
              </w:rPr>
              <w:t xml:space="preserve">September 2023, 83% of patients that responded gave an overall service rating of good or very good and 92% got the help that </w:t>
            </w:r>
            <w:proofErr w:type="gramStart"/>
            <w:r w:rsidRPr="004B77AE">
              <w:rPr>
                <w:rFonts w:cs="Arial"/>
              </w:rPr>
              <w:t>mattered to them at all times</w:t>
            </w:r>
            <w:proofErr w:type="gramEnd"/>
            <w:r w:rsidRPr="004B77AE">
              <w:rPr>
                <w:rFonts w:cs="Arial"/>
              </w:rPr>
              <w:t xml:space="preserve"> or most of the time.</w:t>
            </w:r>
          </w:p>
          <w:p w14:paraId="6A94E6B9" w14:textId="77777777" w:rsidR="00087279" w:rsidRPr="004B77AE" w:rsidRDefault="00087279" w:rsidP="00092477">
            <w:pPr>
              <w:pStyle w:val="TableText"/>
              <w:rPr>
                <w:rFonts w:cs="Arial"/>
              </w:rPr>
            </w:pPr>
          </w:p>
          <w:p w14:paraId="54A1D16E" w14:textId="4A47659C" w:rsidR="00087279" w:rsidRPr="004B77AE" w:rsidRDefault="00087279" w:rsidP="00092477">
            <w:pPr>
              <w:pStyle w:val="TableText"/>
              <w:rPr>
                <w:rFonts w:cs="Arial"/>
              </w:rPr>
            </w:pPr>
            <w:r w:rsidRPr="004B77AE">
              <w:rPr>
                <w:rFonts w:cs="Arial"/>
              </w:rPr>
              <w:t xml:space="preserve">Social value was assessed at tender which highlighted that </w:t>
            </w:r>
            <w:r w:rsidR="00DE6862" w:rsidRPr="004B77AE">
              <w:rPr>
                <w:rFonts w:cs="Arial"/>
              </w:rPr>
              <w:t>[redacted]</w:t>
            </w:r>
            <w:r w:rsidRPr="004B77AE">
              <w:rPr>
                <w:rFonts w:cs="Arial"/>
              </w:rPr>
              <w:t xml:space="preserve">, the contract holder’s </w:t>
            </w:r>
            <w:r w:rsidR="00DE6862" w:rsidRPr="004B77AE">
              <w:rPr>
                <w:rFonts w:cs="Arial"/>
              </w:rPr>
              <w:t>[redacted]</w:t>
            </w:r>
            <w:r w:rsidRPr="004B77AE">
              <w:rPr>
                <w:rFonts w:cs="Arial"/>
              </w:rPr>
              <w:t xml:space="preserve"> delivery partner is a member of Social Value UK, holding “Pioneer” status. </w:t>
            </w:r>
            <w:proofErr w:type="gramStart"/>
            <w:r w:rsidRPr="004B77AE">
              <w:rPr>
                <w:rFonts w:cs="Arial"/>
              </w:rPr>
              <w:t>In order to</w:t>
            </w:r>
            <w:proofErr w:type="gramEnd"/>
            <w:r w:rsidRPr="004B77AE">
              <w:rPr>
                <w:rFonts w:cs="Arial"/>
              </w:rPr>
              <w:t xml:space="preserve"> manage the response through the contract management process, the provider was asked to develop a social value action plan in Y1. The Service is in the process of developing a social value plan and have engaged in an external consultant to support in the development and implementation of the plan once it is finalised.  This will be ready for deployment by Q4 2023/24.</w:t>
            </w:r>
          </w:p>
          <w:p w14:paraId="7A01BF73" w14:textId="77777777" w:rsidR="00087279" w:rsidRPr="004B77AE" w:rsidRDefault="00087279" w:rsidP="00092477">
            <w:pPr>
              <w:pStyle w:val="TableText"/>
              <w:rPr>
                <w:rFonts w:cs="Arial"/>
              </w:rPr>
            </w:pPr>
          </w:p>
          <w:p w14:paraId="301A856E" w14:textId="1992CE8F" w:rsidR="00087279" w:rsidRPr="004B77AE" w:rsidRDefault="00BA7E91" w:rsidP="00092477">
            <w:pPr>
              <w:pStyle w:val="TableText"/>
              <w:rPr>
                <w:rFonts w:cs="Arial"/>
              </w:rPr>
            </w:pPr>
            <w:r w:rsidRPr="004B77AE">
              <w:rPr>
                <w:rFonts w:cs="Arial"/>
                <w:b/>
                <w:bCs/>
              </w:rPr>
              <w:t>Service 2 – Home Enteral Feeding and Dietetics Service (</w:t>
            </w:r>
          </w:p>
          <w:p w14:paraId="047DA11C" w14:textId="774F4189" w:rsidR="00087279" w:rsidRPr="004B77AE" w:rsidRDefault="00036EAB" w:rsidP="00092477">
            <w:pPr>
              <w:pStyle w:val="TableText"/>
              <w:rPr>
                <w:rFonts w:cs="Arial"/>
              </w:rPr>
            </w:pPr>
            <w:r w:rsidRPr="004B77AE">
              <w:rPr>
                <w:rFonts w:cs="Arial"/>
              </w:rPr>
              <w:t xml:space="preserve">Direct feedback from patients/families </w:t>
            </w:r>
            <w:r w:rsidR="007F2322" w:rsidRPr="004B77AE">
              <w:rPr>
                <w:rFonts w:cs="Arial"/>
              </w:rPr>
              <w:t xml:space="preserve">is </w:t>
            </w:r>
            <w:r w:rsidRPr="004B77AE">
              <w:rPr>
                <w:rFonts w:cs="Arial"/>
              </w:rPr>
              <w:t>s not collected</w:t>
            </w:r>
            <w:r w:rsidR="00A2502C">
              <w:rPr>
                <w:rFonts w:cs="Arial"/>
              </w:rPr>
              <w:t xml:space="preserve"> by the ICB</w:t>
            </w:r>
            <w:r w:rsidRPr="004B77AE">
              <w:rPr>
                <w:rFonts w:cs="Arial"/>
              </w:rPr>
              <w:t>.</w:t>
            </w:r>
          </w:p>
          <w:p w14:paraId="629A61F9" w14:textId="77777777" w:rsidR="00087279" w:rsidRPr="004B77AE" w:rsidRDefault="00087279" w:rsidP="00092477">
            <w:pPr>
              <w:pStyle w:val="TableText"/>
              <w:rPr>
                <w:rFonts w:cs="Arial"/>
              </w:rPr>
            </w:pPr>
          </w:p>
          <w:p w14:paraId="35492435" w14:textId="55C1FE23" w:rsidR="004C27D6" w:rsidRPr="004B77AE" w:rsidRDefault="00BA7E91" w:rsidP="00092477">
            <w:pPr>
              <w:pStyle w:val="TableText"/>
              <w:rPr>
                <w:rFonts w:cs="Arial"/>
              </w:rPr>
            </w:pPr>
            <w:r w:rsidRPr="004B77AE">
              <w:rPr>
                <w:rFonts w:cs="Arial"/>
                <w:b/>
                <w:bCs/>
              </w:rPr>
              <w:t>Service 3 – Commissioning P3 Beds in Care and Nursing Homes</w:t>
            </w:r>
          </w:p>
          <w:p w14:paraId="578B28E0" w14:textId="547088EB" w:rsidR="00A2502C" w:rsidRPr="004B77AE" w:rsidRDefault="004C27D6" w:rsidP="00092477">
            <w:pPr>
              <w:pStyle w:val="TableText"/>
              <w:rPr>
                <w:rFonts w:cs="Arial"/>
              </w:rPr>
            </w:pPr>
            <w:r w:rsidRPr="004B77AE">
              <w:rPr>
                <w:rFonts w:cs="Arial"/>
              </w:rPr>
              <w:lastRenderedPageBreak/>
              <w:t>Nurse assessors will gather any patient feedback as they complete their assessment. The assistant Director of nursing will call the homes every week to gather the bed state and any feedback from the homes. Families will be informed of the pathway via the discharge hubs. This is already in place for people placed in spot purchased beds</w:t>
            </w:r>
          </w:p>
        </w:tc>
        <w:tc>
          <w:tcPr>
            <w:tcW w:w="1271" w:type="dxa"/>
            <w:shd w:val="clear" w:color="auto" w:fill="B7FFD2" w:themeFill="accent5" w:themeFillTint="33"/>
            <w:vAlign w:val="center"/>
          </w:tcPr>
          <w:p w14:paraId="553149A8" w14:textId="77777777" w:rsidR="00A2502C" w:rsidRPr="004A3123" w:rsidRDefault="00A2502C" w:rsidP="00092477">
            <w:pPr>
              <w:pStyle w:val="TableText"/>
              <w:jc w:val="center"/>
              <w:rPr>
                <w:rFonts w:cs="Arial"/>
                <w:b/>
                <w:bCs/>
              </w:rPr>
            </w:pPr>
            <w:r w:rsidRPr="004A3123">
              <w:rPr>
                <w:rFonts w:cs="Arial"/>
                <w:b/>
                <w:bCs/>
              </w:rPr>
              <w:lastRenderedPageBreak/>
              <w:t>2</w:t>
            </w:r>
          </w:p>
          <w:p w14:paraId="10AC0221" w14:textId="0DB4A268" w:rsidR="00087279" w:rsidRPr="004B77AE" w:rsidRDefault="00A2502C" w:rsidP="00092477">
            <w:pPr>
              <w:pStyle w:val="TableText"/>
              <w:jc w:val="center"/>
              <w:rPr>
                <w:rFonts w:cs="Arial"/>
                <w:b/>
                <w:bCs/>
                <w:sz w:val="28"/>
                <w:szCs w:val="28"/>
              </w:rPr>
            </w:pPr>
            <w:r w:rsidRPr="004A3123">
              <w:rPr>
                <w:rFonts w:cs="Arial"/>
                <w:b/>
                <w:bCs/>
              </w:rPr>
              <w:t>Achieving</w:t>
            </w:r>
          </w:p>
        </w:tc>
        <w:tc>
          <w:tcPr>
            <w:tcW w:w="2138" w:type="dxa"/>
          </w:tcPr>
          <w:p w14:paraId="0A8342B6" w14:textId="77777777" w:rsidR="00087279" w:rsidRPr="004B77AE" w:rsidRDefault="00087279" w:rsidP="00092477">
            <w:pPr>
              <w:pStyle w:val="TableText"/>
              <w:rPr>
                <w:rFonts w:cs="Arial"/>
              </w:rPr>
            </w:pPr>
            <w:r w:rsidRPr="004B77AE">
              <w:rPr>
                <w:rFonts w:cs="Arial"/>
                <w:b/>
                <w:bCs/>
              </w:rPr>
              <w:t>Diane-Kareen Charles</w:t>
            </w:r>
          </w:p>
          <w:p w14:paraId="68A2F3E4" w14:textId="77777777" w:rsidR="00087279" w:rsidRDefault="00087279" w:rsidP="00092477">
            <w:pPr>
              <w:pStyle w:val="TableText"/>
              <w:rPr>
                <w:rFonts w:cs="Arial"/>
              </w:rPr>
            </w:pPr>
            <w:r w:rsidRPr="004B77AE">
              <w:rPr>
                <w:rFonts w:cs="Arial"/>
              </w:rPr>
              <w:t>Deputy Chief Nurse and Director of Quality</w:t>
            </w:r>
          </w:p>
          <w:p w14:paraId="6D0A2B1F" w14:textId="397BB6C2" w:rsidR="00A2502C" w:rsidRDefault="00A2502C" w:rsidP="00092477">
            <w:pPr>
              <w:pStyle w:val="TableText"/>
              <w:rPr>
                <w:rFonts w:cs="Arial"/>
                <w:b/>
                <w:bCs/>
              </w:rPr>
            </w:pPr>
          </w:p>
          <w:p w14:paraId="7DACF805" w14:textId="1D13D59B" w:rsidR="00A2502C" w:rsidRPr="00A2502C" w:rsidRDefault="00A2502C" w:rsidP="00092477">
            <w:pPr>
              <w:pStyle w:val="TableText"/>
              <w:rPr>
                <w:rFonts w:cs="Arial"/>
                <w:b/>
                <w:bCs/>
              </w:rPr>
            </w:pPr>
            <w:r>
              <w:rPr>
                <w:rFonts w:cs="Arial"/>
                <w:b/>
                <w:bCs/>
              </w:rPr>
              <w:t xml:space="preserve">Nicola Ryan </w:t>
            </w:r>
          </w:p>
          <w:p w14:paraId="4692D518" w14:textId="226F7978" w:rsidR="00A2502C" w:rsidRPr="004A3123" w:rsidRDefault="00A2502C" w:rsidP="00092477">
            <w:pPr>
              <w:pStyle w:val="TableText"/>
              <w:rPr>
                <w:rFonts w:cs="Arial"/>
                <w:b/>
                <w:bCs/>
              </w:rPr>
            </w:pPr>
            <w:r w:rsidRPr="00A2502C">
              <w:rPr>
                <w:rFonts w:cs="Arial"/>
                <w:b/>
                <w:bCs/>
              </w:rPr>
              <w:t xml:space="preserve">Deputy Chief Nurse </w:t>
            </w:r>
            <w:r>
              <w:rPr>
                <w:rFonts w:cs="Arial"/>
                <w:b/>
                <w:bCs/>
              </w:rPr>
              <w:t>Operations (including PALs)</w:t>
            </w:r>
          </w:p>
          <w:p w14:paraId="4E735F5F" w14:textId="77777777" w:rsidR="00087279" w:rsidRPr="004B77AE" w:rsidRDefault="00087279" w:rsidP="00092477">
            <w:pPr>
              <w:pStyle w:val="TableText"/>
              <w:rPr>
                <w:rFonts w:cs="Arial"/>
              </w:rPr>
            </w:pPr>
          </w:p>
          <w:p w14:paraId="31DA5CEB" w14:textId="2EEE44DC" w:rsidR="00087279" w:rsidRPr="004B77AE" w:rsidRDefault="00087279" w:rsidP="00092477">
            <w:pPr>
              <w:pStyle w:val="TableText"/>
              <w:rPr>
                <w:rFonts w:cs="Arial"/>
              </w:rPr>
            </w:pPr>
          </w:p>
        </w:tc>
      </w:tr>
      <w:tr w:rsidR="004C63A9" w:rsidRPr="004B77AE" w14:paraId="5EEED75A" w14:textId="77777777" w:rsidTr="004C63A9">
        <w:tc>
          <w:tcPr>
            <w:tcW w:w="1129" w:type="dxa"/>
            <w:gridSpan w:val="2"/>
            <w:shd w:val="clear" w:color="auto" w:fill="BDDEFF" w:themeFill="accent1" w:themeFillTint="33"/>
          </w:tcPr>
          <w:p w14:paraId="4BE21969" w14:textId="31975372" w:rsidR="004C63A9" w:rsidRDefault="004C63A9" w:rsidP="00163CD1">
            <w:pPr>
              <w:tabs>
                <w:tab w:val="left" w:pos="1005"/>
              </w:tabs>
              <w:rPr>
                <w:rFonts w:cs="Arial"/>
                <w:bCs/>
              </w:rPr>
            </w:pPr>
            <w:r>
              <w:rPr>
                <w:rFonts w:cs="Arial"/>
                <w:bCs/>
              </w:rPr>
              <w:lastRenderedPageBreak/>
              <w:tab/>
            </w:r>
          </w:p>
        </w:tc>
        <w:tc>
          <w:tcPr>
            <w:tcW w:w="3261" w:type="dxa"/>
            <w:gridSpan w:val="2"/>
            <w:shd w:val="clear" w:color="auto" w:fill="BDDEFF" w:themeFill="accent1" w:themeFillTint="33"/>
          </w:tcPr>
          <w:p w14:paraId="2FA41F9B" w14:textId="77777777" w:rsidR="004C63A9" w:rsidRPr="004B77AE" w:rsidRDefault="004C63A9" w:rsidP="00163CD1">
            <w:pPr>
              <w:rPr>
                <w:rFonts w:cs="Arial"/>
                <w:bCs/>
              </w:rPr>
            </w:pPr>
          </w:p>
        </w:tc>
        <w:tc>
          <w:tcPr>
            <w:tcW w:w="7647" w:type="dxa"/>
            <w:shd w:val="clear" w:color="auto" w:fill="BDDEFF" w:themeFill="accent1" w:themeFillTint="33"/>
          </w:tcPr>
          <w:p w14:paraId="2FCB5FD2" w14:textId="77777777" w:rsidR="004C63A9" w:rsidRPr="004B77AE" w:rsidRDefault="004C63A9" w:rsidP="004C63A9">
            <w:pPr>
              <w:rPr>
                <w:rFonts w:cs="Arial"/>
                <w:b/>
              </w:rPr>
            </w:pPr>
            <w:r w:rsidRPr="004B77AE">
              <w:rPr>
                <w:rFonts w:cs="Arial"/>
                <w:b/>
              </w:rPr>
              <w:t xml:space="preserve">Domain 1: Commissioned or provided services overall </w:t>
            </w:r>
            <w:proofErr w:type="gramStart"/>
            <w:r w:rsidRPr="004B77AE">
              <w:rPr>
                <w:rFonts w:cs="Arial"/>
                <w:b/>
              </w:rPr>
              <w:t>rating</w:t>
            </w:r>
            <w:proofErr w:type="gramEnd"/>
          </w:p>
          <w:p w14:paraId="2827BD14" w14:textId="77777777" w:rsidR="004C63A9" w:rsidRDefault="004C63A9" w:rsidP="004C63A9">
            <w:pPr>
              <w:rPr>
                <w:rFonts w:cs="Arial"/>
                <w:bCs/>
              </w:rPr>
            </w:pPr>
          </w:p>
          <w:p w14:paraId="178D6E2D" w14:textId="77777777" w:rsidR="004C63A9" w:rsidRDefault="004C63A9" w:rsidP="004C63A9">
            <w:pPr>
              <w:rPr>
                <w:rFonts w:cs="Arial"/>
                <w:bCs/>
              </w:rPr>
            </w:pPr>
            <w:r>
              <w:rPr>
                <w:rFonts w:cs="Arial"/>
                <w:bCs/>
              </w:rPr>
              <w:t xml:space="preserve">Whilst there is work undertaken to understand differential access, </w:t>
            </w:r>
            <w:proofErr w:type="gramStart"/>
            <w:r>
              <w:rPr>
                <w:rFonts w:cs="Arial"/>
                <w:bCs/>
              </w:rPr>
              <w:t>experience</w:t>
            </w:r>
            <w:proofErr w:type="gramEnd"/>
            <w:r>
              <w:rPr>
                <w:rFonts w:cs="Arial"/>
                <w:bCs/>
              </w:rPr>
              <w:t xml:space="preserve"> and satisfaction with services this is still developing, tools such as the racial equity matrix, our EQIA and EIA process and developing health equity audits will continue to support our understanding and oversight of this.</w:t>
            </w:r>
          </w:p>
          <w:p w14:paraId="1A334C07" w14:textId="27C879E2" w:rsidR="004C63A9" w:rsidRPr="004B77AE" w:rsidRDefault="004C63A9" w:rsidP="004C63A9">
            <w:pPr>
              <w:rPr>
                <w:rFonts w:cs="Arial"/>
                <w:bCs/>
              </w:rPr>
            </w:pPr>
            <w:r>
              <w:rPr>
                <w:rFonts w:cs="Arial"/>
                <w:bCs/>
              </w:rPr>
              <w:br/>
              <w:t>Health equity, health inequality and population health metrics form a core part of our oversight, but again our understanding and response to these in commissioning activity and plans needs more focus.</w:t>
            </w:r>
          </w:p>
        </w:tc>
        <w:tc>
          <w:tcPr>
            <w:tcW w:w="1271" w:type="dxa"/>
            <w:shd w:val="clear" w:color="auto" w:fill="1991C2" w:themeFill="accent4" w:themeFillShade="BF"/>
            <w:vAlign w:val="center"/>
          </w:tcPr>
          <w:p w14:paraId="70E15FEE" w14:textId="68F59F6C" w:rsidR="004C63A9" w:rsidRPr="004B77AE" w:rsidRDefault="004C63A9" w:rsidP="00163CD1">
            <w:pPr>
              <w:pStyle w:val="TableText"/>
              <w:jc w:val="center"/>
              <w:rPr>
                <w:rFonts w:cs="Arial"/>
                <w:b/>
                <w:bCs/>
                <w:sz w:val="36"/>
                <w:szCs w:val="36"/>
              </w:rPr>
            </w:pPr>
            <w:r>
              <w:rPr>
                <w:rFonts w:cs="Arial"/>
                <w:b/>
                <w:bCs/>
                <w:sz w:val="36"/>
                <w:szCs w:val="36"/>
              </w:rPr>
              <w:t>7</w:t>
            </w:r>
          </w:p>
          <w:p w14:paraId="3CF86A08" w14:textId="112A1F6E" w:rsidR="004C63A9" w:rsidRPr="004B77AE" w:rsidRDefault="004C63A9" w:rsidP="00163CD1">
            <w:pPr>
              <w:pStyle w:val="TableText"/>
              <w:jc w:val="center"/>
              <w:rPr>
                <w:rFonts w:cs="Arial"/>
                <w:b/>
                <w:bCs/>
                <w:sz w:val="28"/>
                <w:szCs w:val="28"/>
              </w:rPr>
            </w:pPr>
            <w:r w:rsidRPr="004B77AE">
              <w:rPr>
                <w:rFonts w:cs="Arial"/>
                <w:b/>
                <w:bCs/>
                <w:sz w:val="20"/>
                <w:szCs w:val="20"/>
              </w:rPr>
              <w:t>Developing</w:t>
            </w:r>
          </w:p>
        </w:tc>
        <w:tc>
          <w:tcPr>
            <w:tcW w:w="2138" w:type="dxa"/>
            <w:shd w:val="clear" w:color="auto" w:fill="BDDEFF" w:themeFill="accent1" w:themeFillTint="33"/>
          </w:tcPr>
          <w:p w14:paraId="2108854E" w14:textId="77777777" w:rsidR="004C63A9" w:rsidRPr="004B77AE" w:rsidRDefault="004C63A9" w:rsidP="00163CD1">
            <w:pPr>
              <w:pStyle w:val="TableText"/>
              <w:rPr>
                <w:rFonts w:cs="Arial"/>
              </w:rPr>
            </w:pPr>
          </w:p>
        </w:tc>
      </w:tr>
    </w:tbl>
    <w:p w14:paraId="7139D572" w14:textId="1ED5B770" w:rsidR="00912CC6" w:rsidRPr="00AF316F" w:rsidRDefault="00912CC6" w:rsidP="00AF316F">
      <w:pPr>
        <w:rPr>
          <w:rFonts w:ascii="Tenorite" w:hAnsi="Tenorite"/>
        </w:rPr>
      </w:pPr>
      <w:r w:rsidRPr="00AF316F">
        <w:rPr>
          <w:rFonts w:ascii="Tenorite" w:hAnsi="Tenorite"/>
        </w:rPr>
        <w:br w:type="page"/>
      </w:r>
    </w:p>
    <w:p w14:paraId="65F5B123" w14:textId="7D752D39" w:rsidR="00BB480F" w:rsidRPr="00C244C7" w:rsidRDefault="00BB480F" w:rsidP="00C244C7">
      <w:pPr>
        <w:pStyle w:val="Heading2"/>
      </w:pPr>
      <w:bookmarkStart w:id="8" w:name="_Toc166768102"/>
      <w:r w:rsidRPr="00C244C7">
        <w:lastRenderedPageBreak/>
        <w:t xml:space="preserve">Domain 2: Workforce </w:t>
      </w:r>
      <w:r w:rsidR="00C8623F" w:rsidRPr="00C244C7">
        <w:t>H</w:t>
      </w:r>
      <w:r w:rsidRPr="00C244C7">
        <w:t xml:space="preserve">ealth and </w:t>
      </w:r>
      <w:r w:rsidR="00C8623F" w:rsidRPr="00C244C7">
        <w:t>W</w:t>
      </w:r>
      <w:r w:rsidRPr="00C244C7">
        <w:t>ellbeing</w:t>
      </w:r>
      <w:bookmarkEnd w:id="8"/>
    </w:p>
    <w:tbl>
      <w:tblPr>
        <w:tblStyle w:val="TableGrid"/>
        <w:tblpPr w:leftFromText="180" w:rightFromText="180" w:horzAnchor="margin" w:tblpY="609"/>
        <w:tblW w:w="15446" w:type="dxa"/>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264"/>
        <w:gridCol w:w="7"/>
        <w:gridCol w:w="3775"/>
        <w:gridCol w:w="52"/>
        <w:gridCol w:w="6682"/>
        <w:gridCol w:w="1274"/>
        <w:gridCol w:w="2392"/>
      </w:tblGrid>
      <w:tr w:rsidR="00BB480F" w:rsidRPr="004B77AE" w14:paraId="07C75568" w14:textId="77777777" w:rsidTr="00163CD1">
        <w:tc>
          <w:tcPr>
            <w:tcW w:w="1264" w:type="dxa"/>
            <w:shd w:val="clear" w:color="auto" w:fill="BDDEFF" w:themeFill="accent1" w:themeFillTint="33"/>
            <w:vAlign w:val="center"/>
          </w:tcPr>
          <w:p w14:paraId="1D99719F" w14:textId="77777777" w:rsidR="00BB480F" w:rsidRPr="004B77AE" w:rsidRDefault="00BB480F" w:rsidP="00092477">
            <w:pPr>
              <w:jc w:val="center"/>
              <w:rPr>
                <w:rFonts w:cs="Arial"/>
                <w:b/>
              </w:rPr>
            </w:pPr>
            <w:r w:rsidRPr="004B77AE">
              <w:rPr>
                <w:rFonts w:cs="Arial"/>
                <w:b/>
              </w:rPr>
              <w:lastRenderedPageBreak/>
              <w:t>Domain</w:t>
            </w:r>
          </w:p>
        </w:tc>
        <w:tc>
          <w:tcPr>
            <w:tcW w:w="3782" w:type="dxa"/>
            <w:gridSpan w:val="2"/>
            <w:shd w:val="clear" w:color="auto" w:fill="BDDEFF" w:themeFill="accent1" w:themeFillTint="33"/>
            <w:vAlign w:val="center"/>
          </w:tcPr>
          <w:p w14:paraId="22A89570" w14:textId="77777777" w:rsidR="00BB480F" w:rsidRPr="004B77AE" w:rsidRDefault="00BB480F" w:rsidP="00092477">
            <w:pPr>
              <w:jc w:val="center"/>
              <w:rPr>
                <w:rFonts w:cs="Arial"/>
                <w:b/>
              </w:rPr>
            </w:pPr>
            <w:r w:rsidRPr="004B77AE">
              <w:rPr>
                <w:rFonts w:cs="Arial"/>
                <w:b/>
              </w:rPr>
              <w:t>Outcome</w:t>
            </w:r>
          </w:p>
        </w:tc>
        <w:tc>
          <w:tcPr>
            <w:tcW w:w="6734" w:type="dxa"/>
            <w:gridSpan w:val="2"/>
            <w:shd w:val="clear" w:color="auto" w:fill="BDDEFF" w:themeFill="accent1" w:themeFillTint="33"/>
            <w:vAlign w:val="center"/>
          </w:tcPr>
          <w:p w14:paraId="3879B7C3" w14:textId="117F4CB8" w:rsidR="00BB480F" w:rsidRPr="004B77AE" w:rsidRDefault="00BB480F" w:rsidP="00092477">
            <w:pPr>
              <w:jc w:val="center"/>
              <w:rPr>
                <w:rFonts w:cs="Arial"/>
                <w:b/>
              </w:rPr>
            </w:pPr>
            <w:r w:rsidRPr="004B77AE">
              <w:rPr>
                <w:rFonts w:cs="Arial"/>
                <w:b/>
              </w:rPr>
              <w:t>Evidence</w:t>
            </w:r>
          </w:p>
        </w:tc>
        <w:tc>
          <w:tcPr>
            <w:tcW w:w="1274" w:type="dxa"/>
            <w:shd w:val="clear" w:color="auto" w:fill="BDDEFF" w:themeFill="accent1" w:themeFillTint="33"/>
            <w:vAlign w:val="center"/>
          </w:tcPr>
          <w:p w14:paraId="308B9805" w14:textId="77777777" w:rsidR="00BB480F" w:rsidRPr="004B77AE" w:rsidRDefault="00BB480F" w:rsidP="00092477">
            <w:pPr>
              <w:jc w:val="center"/>
              <w:rPr>
                <w:rFonts w:cs="Arial"/>
                <w:b/>
              </w:rPr>
            </w:pPr>
            <w:r w:rsidRPr="004B77AE">
              <w:rPr>
                <w:rFonts w:cs="Arial"/>
                <w:b/>
              </w:rPr>
              <w:t>Rating</w:t>
            </w:r>
          </w:p>
        </w:tc>
        <w:tc>
          <w:tcPr>
            <w:tcW w:w="2392" w:type="dxa"/>
            <w:shd w:val="clear" w:color="auto" w:fill="BDDEFF" w:themeFill="accent1" w:themeFillTint="33"/>
            <w:vAlign w:val="center"/>
          </w:tcPr>
          <w:p w14:paraId="7653CC08" w14:textId="77777777" w:rsidR="00BB480F" w:rsidRPr="004B77AE" w:rsidRDefault="00BB480F" w:rsidP="00092477">
            <w:pPr>
              <w:jc w:val="center"/>
              <w:rPr>
                <w:rFonts w:cs="Arial"/>
                <w:b/>
              </w:rPr>
            </w:pPr>
            <w:r w:rsidRPr="004B77AE">
              <w:rPr>
                <w:rFonts w:cs="Arial"/>
                <w:b/>
              </w:rPr>
              <w:t>Owner (Dept/Lead)</w:t>
            </w:r>
          </w:p>
        </w:tc>
      </w:tr>
      <w:tr w:rsidR="00823810" w:rsidRPr="004B77AE" w14:paraId="19B0A304" w14:textId="77777777" w:rsidTr="00163CD1">
        <w:trPr>
          <w:cantSplit/>
          <w:trHeight w:val="1247"/>
        </w:trPr>
        <w:tc>
          <w:tcPr>
            <w:tcW w:w="1264" w:type="dxa"/>
            <w:shd w:val="clear" w:color="auto" w:fill="BDDEFF" w:themeFill="accent1" w:themeFillTint="33"/>
            <w:textDirection w:val="btLr"/>
            <w:vAlign w:val="center"/>
          </w:tcPr>
          <w:p w14:paraId="05242C0F" w14:textId="77777777" w:rsidR="00823810" w:rsidRPr="004B77AE" w:rsidRDefault="00823810" w:rsidP="00092477">
            <w:pPr>
              <w:ind w:left="113" w:right="113"/>
              <w:jc w:val="center"/>
              <w:rPr>
                <w:rFonts w:cs="Arial"/>
                <w:b/>
                <w:sz w:val="32"/>
                <w:szCs w:val="32"/>
              </w:rPr>
            </w:pPr>
            <w:r w:rsidRPr="004B77AE">
              <w:rPr>
                <w:rFonts w:cs="Arial"/>
                <w:b/>
                <w:sz w:val="32"/>
                <w:szCs w:val="32"/>
              </w:rPr>
              <w:t xml:space="preserve">Domain 2: </w:t>
            </w:r>
          </w:p>
          <w:p w14:paraId="57BAF48B" w14:textId="77777777" w:rsidR="00823810" w:rsidRPr="004B77AE" w:rsidRDefault="00823810" w:rsidP="00092477">
            <w:pPr>
              <w:ind w:left="113" w:right="113"/>
              <w:jc w:val="center"/>
              <w:rPr>
                <w:rFonts w:cs="Arial"/>
                <w:b/>
                <w:sz w:val="32"/>
                <w:szCs w:val="32"/>
              </w:rPr>
            </w:pPr>
            <w:r w:rsidRPr="004B77AE">
              <w:rPr>
                <w:rFonts w:cs="Arial"/>
                <w:b/>
                <w:sz w:val="32"/>
                <w:szCs w:val="32"/>
              </w:rPr>
              <w:t>Workforce health and well-being</w:t>
            </w:r>
          </w:p>
          <w:p w14:paraId="3A446212" w14:textId="77777777" w:rsidR="00823810" w:rsidRPr="004B77AE" w:rsidRDefault="00823810" w:rsidP="00092477">
            <w:pPr>
              <w:ind w:left="113" w:right="113"/>
              <w:jc w:val="center"/>
              <w:rPr>
                <w:rFonts w:cs="Arial"/>
              </w:rPr>
            </w:pPr>
          </w:p>
        </w:tc>
        <w:tc>
          <w:tcPr>
            <w:tcW w:w="3782" w:type="dxa"/>
            <w:gridSpan w:val="2"/>
            <w:shd w:val="clear" w:color="auto" w:fill="BDDEFF" w:themeFill="accent1" w:themeFillTint="33"/>
          </w:tcPr>
          <w:p w14:paraId="6C7323C1" w14:textId="488F53B5" w:rsidR="00823810" w:rsidRPr="004B77AE" w:rsidRDefault="00823810" w:rsidP="00092477">
            <w:pPr>
              <w:rPr>
                <w:rFonts w:cs="Arial"/>
              </w:rPr>
            </w:pPr>
            <w:r w:rsidRPr="004B77AE">
              <w:rPr>
                <w:rFonts w:cs="Arial"/>
              </w:rPr>
              <w:t>2A: When at work, staff are provided with support to manage obesity, diabetes, asthma, COPD, and mental health conditions</w:t>
            </w:r>
          </w:p>
        </w:tc>
        <w:tc>
          <w:tcPr>
            <w:tcW w:w="6734" w:type="dxa"/>
            <w:gridSpan w:val="2"/>
          </w:tcPr>
          <w:p w14:paraId="5484C862" w14:textId="7A833007" w:rsidR="004B77AE" w:rsidRPr="004A3123" w:rsidRDefault="009E3F20" w:rsidP="00092477">
            <w:pPr>
              <w:pStyle w:val="TableText"/>
              <w:rPr>
                <w:rFonts w:cs="Arial"/>
              </w:rPr>
            </w:pPr>
            <w:r w:rsidRPr="004A3123">
              <w:rPr>
                <w:rFonts w:cs="Arial"/>
              </w:rPr>
              <w:t xml:space="preserve">The ICB has chosen to take a prevention approach to Staff Wellbeing rather than addressing specific </w:t>
            </w:r>
            <w:proofErr w:type="gramStart"/>
            <w:r w:rsidRPr="004A3123">
              <w:rPr>
                <w:rFonts w:cs="Arial"/>
              </w:rPr>
              <w:t>long term</w:t>
            </w:r>
            <w:proofErr w:type="gramEnd"/>
            <w:r w:rsidRPr="004A3123">
              <w:rPr>
                <w:rFonts w:cs="Arial"/>
              </w:rPr>
              <w:t xml:space="preserve"> conditions.</w:t>
            </w:r>
          </w:p>
          <w:p w14:paraId="687381A1" w14:textId="77777777" w:rsidR="004B77AE" w:rsidRPr="004A3123" w:rsidRDefault="004B77AE" w:rsidP="00092477">
            <w:pPr>
              <w:pStyle w:val="TableText"/>
              <w:rPr>
                <w:rFonts w:cs="Arial"/>
              </w:rPr>
            </w:pPr>
          </w:p>
          <w:p w14:paraId="2921ACB0" w14:textId="46FB562E" w:rsidR="00823810" w:rsidRPr="004A3123" w:rsidRDefault="00823810" w:rsidP="00441BD5">
            <w:pPr>
              <w:pStyle w:val="TableText"/>
              <w:numPr>
                <w:ilvl w:val="0"/>
                <w:numId w:val="7"/>
              </w:numPr>
              <w:rPr>
                <w:rFonts w:cs="Arial"/>
              </w:rPr>
            </w:pPr>
            <w:r w:rsidRPr="004A3123">
              <w:rPr>
                <w:rFonts w:cs="Arial"/>
              </w:rPr>
              <w:t xml:space="preserve">Obesity: </w:t>
            </w:r>
            <w:r w:rsidR="001D3211" w:rsidRPr="004A3123">
              <w:rPr>
                <w:rFonts w:cs="Arial"/>
              </w:rPr>
              <w:t>We address obesity via physical wellbeing and healthy lifestyle support that is available via our intranet pages.</w:t>
            </w:r>
          </w:p>
          <w:p w14:paraId="14A0AF8E" w14:textId="1537A65A" w:rsidR="00823810" w:rsidRPr="004A3123" w:rsidRDefault="00823810" w:rsidP="00441BD5">
            <w:pPr>
              <w:pStyle w:val="TableText"/>
              <w:numPr>
                <w:ilvl w:val="0"/>
                <w:numId w:val="7"/>
              </w:numPr>
              <w:rPr>
                <w:rFonts w:cs="Arial"/>
              </w:rPr>
            </w:pPr>
            <w:r w:rsidRPr="004A3123">
              <w:rPr>
                <w:rFonts w:cs="Arial"/>
              </w:rPr>
              <w:t>Diabetes: Nothing specific available to staff</w:t>
            </w:r>
            <w:r w:rsidR="009E3F20" w:rsidRPr="004A3123">
              <w:rPr>
                <w:rFonts w:cs="Arial"/>
              </w:rPr>
              <w:t xml:space="preserve">. However healthy lifestyle material and support is available via the </w:t>
            </w:r>
            <w:proofErr w:type="gramStart"/>
            <w:r w:rsidR="009E3F20" w:rsidRPr="004A3123">
              <w:rPr>
                <w:rFonts w:cs="Arial"/>
              </w:rPr>
              <w:t>intranet</w:t>
            </w:r>
            <w:proofErr w:type="gramEnd"/>
          </w:p>
          <w:p w14:paraId="20CE74A4" w14:textId="00711185" w:rsidR="00823810" w:rsidRPr="004A3123" w:rsidRDefault="00823810" w:rsidP="00441BD5">
            <w:pPr>
              <w:pStyle w:val="TableText"/>
              <w:numPr>
                <w:ilvl w:val="0"/>
                <w:numId w:val="7"/>
              </w:numPr>
              <w:rPr>
                <w:rFonts w:cs="Arial"/>
              </w:rPr>
            </w:pPr>
            <w:r w:rsidRPr="004A3123">
              <w:rPr>
                <w:rFonts w:cs="Arial"/>
              </w:rPr>
              <w:t xml:space="preserve">Asthma: </w:t>
            </w:r>
            <w:r w:rsidR="009E3F20" w:rsidRPr="004A3123">
              <w:rPr>
                <w:rFonts w:cs="Arial"/>
              </w:rPr>
              <w:t>We do not address asthma directly but do support staff with smoking cessation and physical activity.</w:t>
            </w:r>
          </w:p>
          <w:p w14:paraId="0DEC132D" w14:textId="6D31656E" w:rsidR="00823810" w:rsidRPr="004A3123" w:rsidRDefault="00823810" w:rsidP="00441BD5">
            <w:pPr>
              <w:pStyle w:val="TableText"/>
              <w:numPr>
                <w:ilvl w:val="0"/>
                <w:numId w:val="7"/>
              </w:numPr>
              <w:rPr>
                <w:rFonts w:cs="Arial"/>
              </w:rPr>
            </w:pPr>
            <w:r w:rsidRPr="004A3123">
              <w:rPr>
                <w:rFonts w:cs="Arial"/>
              </w:rPr>
              <w:t xml:space="preserve">COPD: </w:t>
            </w:r>
            <w:r w:rsidR="009E3F20" w:rsidRPr="004A3123">
              <w:rPr>
                <w:rFonts w:cs="Arial"/>
              </w:rPr>
              <w:t xml:space="preserve">We do not address COPD directly but do support staff with smoking cessation and physical </w:t>
            </w:r>
            <w:proofErr w:type="gramStart"/>
            <w:r w:rsidR="009E3F20" w:rsidRPr="004A3123">
              <w:rPr>
                <w:rFonts w:cs="Arial"/>
              </w:rPr>
              <w:t>activity</w:t>
            </w:r>
            <w:proofErr w:type="gramEnd"/>
          </w:p>
          <w:p w14:paraId="5E1A1C93" w14:textId="188BC89E" w:rsidR="00823810" w:rsidRPr="004A3123" w:rsidRDefault="00823810" w:rsidP="00441BD5">
            <w:pPr>
              <w:pStyle w:val="TableText"/>
              <w:numPr>
                <w:ilvl w:val="0"/>
                <w:numId w:val="7"/>
              </w:numPr>
              <w:rPr>
                <w:rStyle w:val="Hyperlink"/>
                <w:rFonts w:cs="Arial"/>
                <w:color w:val="231F20"/>
                <w:u w:val="none"/>
              </w:rPr>
            </w:pPr>
            <w:r w:rsidRPr="004A3123">
              <w:rPr>
                <w:rFonts w:cs="Arial"/>
              </w:rPr>
              <w:t xml:space="preserve">Mental Health: </w:t>
            </w:r>
            <w:r w:rsidR="009E3F20" w:rsidRPr="004A3123">
              <w:rPr>
                <w:rFonts w:cs="Arial"/>
              </w:rPr>
              <w:t>numerous resources available to staff via intranet pages.</w:t>
            </w:r>
          </w:p>
          <w:p w14:paraId="110D590E" w14:textId="77777777" w:rsidR="00823810" w:rsidRPr="004B77AE" w:rsidRDefault="00823810" w:rsidP="00092477">
            <w:pPr>
              <w:pStyle w:val="TableText"/>
              <w:rPr>
                <w:rStyle w:val="Hyperlink"/>
                <w:rFonts w:cs="Arial"/>
                <w:color w:val="auto"/>
                <w:u w:val="none"/>
              </w:rPr>
            </w:pPr>
          </w:p>
          <w:p w14:paraId="1FDCDE8F" w14:textId="77777777" w:rsidR="00823810" w:rsidRPr="004B77AE" w:rsidRDefault="00823810" w:rsidP="00092477">
            <w:pPr>
              <w:pStyle w:val="TableText"/>
              <w:rPr>
                <w:rFonts w:cs="Arial"/>
                <w:color w:val="auto"/>
              </w:rPr>
            </w:pPr>
            <w:r w:rsidRPr="004B77AE">
              <w:rPr>
                <w:rFonts w:cs="Arial"/>
                <w:b/>
                <w:bCs/>
                <w:color w:val="auto"/>
              </w:rPr>
              <w:t>Physical Health</w:t>
            </w:r>
          </w:p>
          <w:p w14:paraId="7ECC7C0F" w14:textId="0AABDD26" w:rsidR="00823810" w:rsidRPr="004B77AE" w:rsidRDefault="00823810" w:rsidP="00092477">
            <w:pPr>
              <w:pStyle w:val="TableText"/>
              <w:rPr>
                <w:rFonts w:cs="Arial"/>
                <w:color w:val="auto"/>
              </w:rPr>
            </w:pPr>
            <w:r w:rsidRPr="004B77AE">
              <w:rPr>
                <w:rFonts w:cs="Arial"/>
                <w:color w:val="auto"/>
              </w:rPr>
              <w:t>ICB staff can access the occupational health services (see below) for support around physical conditions. The ICB has a dedicated intranet page for Physical Health, which includes:</w:t>
            </w:r>
          </w:p>
          <w:p w14:paraId="57451ED2" w14:textId="07B69806" w:rsidR="00823810" w:rsidRPr="004B77AE" w:rsidRDefault="00823810" w:rsidP="00441BD5">
            <w:pPr>
              <w:pStyle w:val="TableText"/>
              <w:numPr>
                <w:ilvl w:val="0"/>
                <w:numId w:val="11"/>
              </w:numPr>
              <w:rPr>
                <w:rFonts w:cs="Arial"/>
                <w:color w:val="auto"/>
              </w:rPr>
            </w:pPr>
            <w:r w:rsidRPr="004B77AE">
              <w:rPr>
                <w:rFonts w:cs="Arial"/>
                <w:color w:val="auto"/>
              </w:rPr>
              <w:t>Advice on nutrition.</w:t>
            </w:r>
          </w:p>
          <w:p w14:paraId="437C959B" w14:textId="7EF79E8C" w:rsidR="00823810" w:rsidRPr="004B77AE" w:rsidRDefault="00823810" w:rsidP="00441BD5">
            <w:pPr>
              <w:pStyle w:val="TableText"/>
              <w:numPr>
                <w:ilvl w:val="0"/>
                <w:numId w:val="11"/>
              </w:numPr>
              <w:rPr>
                <w:rFonts w:cs="Arial"/>
                <w:color w:val="auto"/>
              </w:rPr>
            </w:pPr>
            <w:r w:rsidRPr="004B77AE">
              <w:rPr>
                <w:rFonts w:cs="Arial"/>
                <w:color w:val="auto"/>
              </w:rPr>
              <w:t>Advice on exercise.</w:t>
            </w:r>
          </w:p>
          <w:p w14:paraId="0157B528" w14:textId="41C798AB" w:rsidR="00823810" w:rsidRPr="004B77AE" w:rsidRDefault="00823810" w:rsidP="00441BD5">
            <w:pPr>
              <w:pStyle w:val="TableText"/>
              <w:numPr>
                <w:ilvl w:val="0"/>
                <w:numId w:val="11"/>
              </w:numPr>
              <w:rPr>
                <w:rFonts w:cs="Arial"/>
                <w:color w:val="auto"/>
              </w:rPr>
            </w:pPr>
            <w:r w:rsidRPr="004B77AE">
              <w:rPr>
                <w:rFonts w:cs="Arial"/>
                <w:color w:val="auto"/>
              </w:rPr>
              <w:t>Links to the Digital Weight Management Plan for NHS Staff.</w:t>
            </w:r>
          </w:p>
          <w:p w14:paraId="30D97329" w14:textId="72D62DD4" w:rsidR="00823810" w:rsidRPr="004B77AE" w:rsidRDefault="00823810" w:rsidP="00441BD5">
            <w:pPr>
              <w:pStyle w:val="TableText"/>
              <w:numPr>
                <w:ilvl w:val="0"/>
                <w:numId w:val="11"/>
              </w:numPr>
              <w:rPr>
                <w:rFonts w:cs="Arial"/>
                <w:color w:val="auto"/>
              </w:rPr>
            </w:pPr>
            <w:r w:rsidRPr="004B77AE">
              <w:rPr>
                <w:rFonts w:cs="Arial"/>
                <w:color w:val="auto"/>
              </w:rPr>
              <w:t>Information on the ICB’s Wellbeing Hour.</w:t>
            </w:r>
          </w:p>
          <w:p w14:paraId="20320335" w14:textId="77777777" w:rsidR="00823810" w:rsidRPr="004B77AE" w:rsidRDefault="00823810" w:rsidP="00092477">
            <w:pPr>
              <w:pStyle w:val="TableText"/>
              <w:rPr>
                <w:rFonts w:cs="Arial"/>
                <w:color w:val="auto"/>
              </w:rPr>
            </w:pPr>
          </w:p>
          <w:p w14:paraId="72E230FE" w14:textId="61D0C208" w:rsidR="00823810" w:rsidRDefault="00823810" w:rsidP="00092477">
            <w:pPr>
              <w:pStyle w:val="TableText"/>
              <w:rPr>
                <w:rFonts w:cs="Arial"/>
                <w:color w:val="auto"/>
              </w:rPr>
            </w:pPr>
            <w:r w:rsidRPr="004B77AE">
              <w:rPr>
                <w:rFonts w:cs="Arial"/>
                <w:color w:val="auto"/>
              </w:rPr>
              <w:t>The page has had 239 unique views since launching in summer 2022.</w:t>
            </w:r>
          </w:p>
          <w:p w14:paraId="33FF4794" w14:textId="77777777" w:rsidR="00C244C7" w:rsidRPr="004B77AE" w:rsidRDefault="00C244C7" w:rsidP="00092477">
            <w:pPr>
              <w:pStyle w:val="TableText"/>
              <w:rPr>
                <w:rFonts w:cs="Arial"/>
                <w:color w:val="auto"/>
              </w:rPr>
            </w:pPr>
          </w:p>
          <w:p w14:paraId="5D5ACED2" w14:textId="7B2BDEFF" w:rsidR="00823810" w:rsidRPr="004B77AE" w:rsidRDefault="00823810" w:rsidP="00092477">
            <w:pPr>
              <w:pStyle w:val="TableText"/>
              <w:rPr>
                <w:rFonts w:cs="Arial"/>
                <w:color w:val="auto"/>
              </w:rPr>
            </w:pPr>
            <w:r w:rsidRPr="004B77AE">
              <w:rPr>
                <w:rFonts w:cs="Arial"/>
                <w:b/>
                <w:bCs/>
                <w:color w:val="auto"/>
              </w:rPr>
              <w:lastRenderedPageBreak/>
              <w:t>Wellbeing Hour</w:t>
            </w:r>
          </w:p>
          <w:p w14:paraId="6E192F33" w14:textId="064A43C2" w:rsidR="00823810" w:rsidRPr="004B77AE" w:rsidRDefault="00823810" w:rsidP="00092477">
            <w:pPr>
              <w:pStyle w:val="TableText"/>
              <w:rPr>
                <w:rFonts w:cs="Arial"/>
                <w:color w:val="auto"/>
              </w:rPr>
            </w:pPr>
            <w:r w:rsidRPr="004B77AE">
              <w:rPr>
                <w:rFonts w:cs="Arial"/>
                <w:color w:val="auto"/>
              </w:rPr>
              <w:t>The ICB has implemented a weekly Wellbeing Hour. This is a dedicated time each week for staff to do something to promote their wellbeing. Staff choose when to take their Wellbeing Hour and what they use it for. Some examples of things staff have used their Wellbeing Hour for include:</w:t>
            </w:r>
          </w:p>
          <w:p w14:paraId="158CB1A6" w14:textId="4566C8A9" w:rsidR="00823810" w:rsidRPr="004B77AE" w:rsidRDefault="00823810" w:rsidP="00441BD5">
            <w:pPr>
              <w:pStyle w:val="TableText"/>
              <w:numPr>
                <w:ilvl w:val="0"/>
                <w:numId w:val="12"/>
              </w:numPr>
              <w:rPr>
                <w:rFonts w:cs="Arial"/>
                <w:color w:val="auto"/>
              </w:rPr>
            </w:pPr>
            <w:r w:rsidRPr="004B77AE">
              <w:rPr>
                <w:rFonts w:cs="Arial"/>
                <w:color w:val="auto"/>
              </w:rPr>
              <w:t>Going for a walk.</w:t>
            </w:r>
          </w:p>
          <w:p w14:paraId="27A7666E" w14:textId="2244A655" w:rsidR="00823810" w:rsidRPr="004B77AE" w:rsidRDefault="00823810" w:rsidP="00441BD5">
            <w:pPr>
              <w:pStyle w:val="TableText"/>
              <w:numPr>
                <w:ilvl w:val="0"/>
                <w:numId w:val="12"/>
              </w:numPr>
              <w:rPr>
                <w:rFonts w:cs="Arial"/>
                <w:color w:val="auto"/>
              </w:rPr>
            </w:pPr>
            <w:r w:rsidRPr="004B77AE">
              <w:rPr>
                <w:rFonts w:cs="Arial"/>
                <w:color w:val="auto"/>
              </w:rPr>
              <w:t>Relaxation/ mindfulness time.</w:t>
            </w:r>
          </w:p>
          <w:p w14:paraId="75D5028C" w14:textId="53034829" w:rsidR="00823810" w:rsidRPr="004B77AE" w:rsidRDefault="00823810" w:rsidP="00441BD5">
            <w:pPr>
              <w:pStyle w:val="TableText"/>
              <w:numPr>
                <w:ilvl w:val="0"/>
                <w:numId w:val="12"/>
              </w:numPr>
              <w:rPr>
                <w:rFonts w:cs="Arial"/>
                <w:color w:val="auto"/>
              </w:rPr>
            </w:pPr>
            <w:r w:rsidRPr="004B77AE">
              <w:rPr>
                <w:rFonts w:cs="Arial"/>
                <w:color w:val="auto"/>
              </w:rPr>
              <w:t>Going swimming or to the gym.</w:t>
            </w:r>
          </w:p>
          <w:p w14:paraId="41760E51" w14:textId="0E97C171" w:rsidR="00823810" w:rsidRPr="004B77AE" w:rsidRDefault="00823810" w:rsidP="00441BD5">
            <w:pPr>
              <w:pStyle w:val="TableText"/>
              <w:numPr>
                <w:ilvl w:val="0"/>
                <w:numId w:val="12"/>
              </w:numPr>
              <w:rPr>
                <w:rFonts w:cs="Arial"/>
                <w:color w:val="auto"/>
              </w:rPr>
            </w:pPr>
            <w:r w:rsidRPr="004B77AE">
              <w:rPr>
                <w:rFonts w:cs="Arial"/>
                <w:color w:val="auto"/>
              </w:rPr>
              <w:t>Spending time outside and away from monitors/ screens.</w:t>
            </w:r>
          </w:p>
          <w:p w14:paraId="41DA9479" w14:textId="77777777" w:rsidR="00823810" w:rsidRPr="004B77AE" w:rsidRDefault="00823810" w:rsidP="00092477">
            <w:pPr>
              <w:pStyle w:val="TableText"/>
              <w:rPr>
                <w:rFonts w:cs="Arial"/>
                <w:color w:val="auto"/>
              </w:rPr>
            </w:pPr>
          </w:p>
          <w:p w14:paraId="6EC8F195" w14:textId="35B0F7D9" w:rsidR="00823810" w:rsidRPr="004B77AE" w:rsidRDefault="00823810" w:rsidP="00092477">
            <w:pPr>
              <w:pStyle w:val="TableText"/>
              <w:rPr>
                <w:rFonts w:cs="Arial"/>
                <w:color w:val="auto"/>
              </w:rPr>
            </w:pPr>
            <w:r w:rsidRPr="004B77AE">
              <w:rPr>
                <w:rFonts w:cs="Arial"/>
                <w:b/>
                <w:bCs/>
                <w:color w:val="auto"/>
              </w:rPr>
              <w:t>Reset Days</w:t>
            </w:r>
          </w:p>
          <w:p w14:paraId="49D731AB" w14:textId="3FE70FEE" w:rsidR="00823810" w:rsidRPr="004B77AE" w:rsidRDefault="00823810" w:rsidP="00092477">
            <w:pPr>
              <w:pStyle w:val="TableText"/>
              <w:rPr>
                <w:rFonts w:cs="Arial"/>
                <w:color w:val="auto"/>
              </w:rPr>
            </w:pPr>
            <w:r w:rsidRPr="004B77AE">
              <w:rPr>
                <w:rFonts w:cs="Arial"/>
                <w:color w:val="auto"/>
              </w:rPr>
              <w:t xml:space="preserve">Once a </w:t>
            </w:r>
            <w:r w:rsidR="001D3211">
              <w:rPr>
                <w:rFonts w:cs="Arial"/>
                <w:color w:val="auto"/>
              </w:rPr>
              <w:t>quarter</w:t>
            </w:r>
            <w:r w:rsidRPr="004B77AE">
              <w:rPr>
                <w:rFonts w:cs="Arial"/>
                <w:color w:val="auto"/>
              </w:rPr>
              <w:t>, the ICB schedules Reset Days into everyone’s diaries. These are days when meetings and calls should be kept to a minimum, and they are a time for all staff to catch up and ‘reset’.</w:t>
            </w:r>
          </w:p>
          <w:p w14:paraId="295CA6C3" w14:textId="77777777" w:rsidR="00823810" w:rsidRPr="004B77AE" w:rsidRDefault="00823810" w:rsidP="00092477">
            <w:pPr>
              <w:pStyle w:val="TableText"/>
              <w:rPr>
                <w:rFonts w:cs="Arial"/>
                <w:color w:val="auto"/>
              </w:rPr>
            </w:pPr>
          </w:p>
          <w:p w14:paraId="224DF7AE" w14:textId="38B58959" w:rsidR="00823810" w:rsidRPr="004B77AE" w:rsidRDefault="00823810" w:rsidP="00092477">
            <w:pPr>
              <w:pStyle w:val="TableText"/>
              <w:rPr>
                <w:rFonts w:cs="Arial"/>
                <w:color w:val="auto"/>
              </w:rPr>
            </w:pPr>
            <w:r w:rsidRPr="004B77AE">
              <w:rPr>
                <w:rFonts w:cs="Arial"/>
                <w:color w:val="auto"/>
              </w:rPr>
              <w:t>Although received well, these have been challenging for some colleagues to manage and utilise due to statutory work and the integrated fashion of ICB/ICS working. Further work is ongoing to make these more flexible and user friendly to enable more people to take advantage of them.</w:t>
            </w:r>
          </w:p>
          <w:p w14:paraId="5F97FD80" w14:textId="77777777" w:rsidR="00823810" w:rsidRPr="004B77AE" w:rsidRDefault="00823810" w:rsidP="00092477">
            <w:pPr>
              <w:pStyle w:val="TableText"/>
              <w:rPr>
                <w:rFonts w:cs="Arial"/>
                <w:color w:val="auto"/>
              </w:rPr>
            </w:pPr>
          </w:p>
          <w:p w14:paraId="0294165F" w14:textId="77777777" w:rsidR="00823810" w:rsidRPr="004B77AE" w:rsidRDefault="00823810" w:rsidP="00092477">
            <w:pPr>
              <w:pStyle w:val="TableText"/>
              <w:rPr>
                <w:rFonts w:cs="Arial"/>
                <w:color w:val="auto"/>
              </w:rPr>
            </w:pPr>
            <w:r w:rsidRPr="004B77AE">
              <w:rPr>
                <w:rFonts w:cs="Arial"/>
                <w:b/>
                <w:bCs/>
                <w:color w:val="auto"/>
              </w:rPr>
              <w:t>Mental Health</w:t>
            </w:r>
          </w:p>
          <w:p w14:paraId="76F03A07" w14:textId="39397E71" w:rsidR="00823810" w:rsidRPr="004B77AE" w:rsidRDefault="00823810" w:rsidP="00092477">
            <w:pPr>
              <w:pStyle w:val="TableText"/>
              <w:rPr>
                <w:rFonts w:cs="Arial"/>
                <w:color w:val="auto"/>
              </w:rPr>
            </w:pPr>
            <w:r w:rsidRPr="004B77AE">
              <w:rPr>
                <w:rFonts w:cs="Arial"/>
                <w:color w:val="auto"/>
              </w:rPr>
              <w:t>The ICB has a dedicated intranet page for Mental Health, which includes information on:</w:t>
            </w:r>
          </w:p>
          <w:p w14:paraId="64074AC9" w14:textId="05B73DD5" w:rsidR="00823810" w:rsidRPr="004B77AE" w:rsidRDefault="00823810" w:rsidP="00441BD5">
            <w:pPr>
              <w:pStyle w:val="TableText"/>
              <w:numPr>
                <w:ilvl w:val="0"/>
                <w:numId w:val="13"/>
              </w:numPr>
              <w:rPr>
                <w:rFonts w:cs="Arial"/>
                <w:color w:val="auto"/>
              </w:rPr>
            </w:pPr>
            <w:r w:rsidRPr="004B77AE">
              <w:rPr>
                <w:rFonts w:cs="Arial"/>
                <w:color w:val="auto"/>
              </w:rPr>
              <w:t>Mindfulness.</w:t>
            </w:r>
          </w:p>
          <w:p w14:paraId="4BA69CCB" w14:textId="0922E992" w:rsidR="00823810" w:rsidRPr="004B77AE" w:rsidRDefault="00823810" w:rsidP="00441BD5">
            <w:pPr>
              <w:pStyle w:val="TableText"/>
              <w:numPr>
                <w:ilvl w:val="0"/>
                <w:numId w:val="13"/>
              </w:numPr>
              <w:rPr>
                <w:rFonts w:cs="Arial"/>
                <w:color w:val="auto"/>
              </w:rPr>
            </w:pPr>
            <w:r w:rsidRPr="004B77AE">
              <w:rPr>
                <w:rFonts w:cs="Arial"/>
                <w:color w:val="auto"/>
              </w:rPr>
              <w:t>NHS Wellbeing apps.</w:t>
            </w:r>
          </w:p>
          <w:p w14:paraId="13FC9C9A" w14:textId="094F4E26" w:rsidR="00823810" w:rsidRPr="004B77AE" w:rsidRDefault="00823810" w:rsidP="00441BD5">
            <w:pPr>
              <w:pStyle w:val="TableText"/>
              <w:numPr>
                <w:ilvl w:val="0"/>
                <w:numId w:val="13"/>
              </w:numPr>
              <w:rPr>
                <w:rFonts w:cs="Arial"/>
                <w:color w:val="auto"/>
              </w:rPr>
            </w:pPr>
            <w:r w:rsidRPr="004B77AE">
              <w:rPr>
                <w:rFonts w:cs="Arial"/>
                <w:color w:val="auto"/>
              </w:rPr>
              <w:t>The ICB’s Wellbeing Hour</w:t>
            </w:r>
          </w:p>
          <w:p w14:paraId="6786B782" w14:textId="4E10BB5D" w:rsidR="00823810" w:rsidRPr="004A3123" w:rsidRDefault="00823810" w:rsidP="00441BD5">
            <w:pPr>
              <w:pStyle w:val="TableText"/>
              <w:numPr>
                <w:ilvl w:val="0"/>
                <w:numId w:val="13"/>
              </w:numPr>
              <w:rPr>
                <w:rFonts w:cs="Arial"/>
                <w:color w:val="auto"/>
              </w:rPr>
            </w:pPr>
            <w:r w:rsidRPr="004A3123">
              <w:rPr>
                <w:rFonts w:cs="Arial"/>
                <w:color w:val="auto"/>
              </w:rPr>
              <w:t>How to have meaningful wellbeing conversations.</w:t>
            </w:r>
          </w:p>
          <w:p w14:paraId="3E40F1C0" w14:textId="77777777" w:rsidR="001D3211" w:rsidRPr="004A3123" w:rsidRDefault="001D3211" w:rsidP="00092477">
            <w:pPr>
              <w:pStyle w:val="TableText"/>
              <w:rPr>
                <w:rFonts w:cs="Arial"/>
                <w:color w:val="auto"/>
              </w:rPr>
            </w:pPr>
          </w:p>
          <w:p w14:paraId="3943702C" w14:textId="179374C1" w:rsidR="001D3211" w:rsidRPr="004B77AE" w:rsidRDefault="001D3211" w:rsidP="00092477">
            <w:pPr>
              <w:pStyle w:val="TableText"/>
              <w:rPr>
                <w:rFonts w:cs="Arial"/>
                <w:color w:val="auto"/>
              </w:rPr>
            </w:pPr>
            <w:r w:rsidRPr="004A3123">
              <w:rPr>
                <w:rFonts w:cs="Arial"/>
                <w:color w:val="auto"/>
              </w:rPr>
              <w:lastRenderedPageBreak/>
              <w:t xml:space="preserve">In 2021/22 the ICB invested in supporting staff become Mental Health First Aiders. We currently have 11 MHFA across the organisation of varying grades and roles. They have their own dedicated intranet page for staff to access and seek </w:t>
            </w:r>
            <w:proofErr w:type="spellStart"/>
            <w:r w:rsidRPr="004A3123">
              <w:rPr>
                <w:rFonts w:cs="Arial"/>
                <w:color w:val="auto"/>
              </w:rPr>
              <w:t>advise</w:t>
            </w:r>
            <w:proofErr w:type="spellEnd"/>
            <w:r w:rsidRPr="004A3123">
              <w:rPr>
                <w:rFonts w:cs="Arial"/>
                <w:color w:val="auto"/>
              </w:rPr>
              <w:t xml:space="preserve">/signposting to </w:t>
            </w:r>
            <w:r w:rsidRPr="004C63A9">
              <w:rPr>
                <w:rFonts w:cs="Arial"/>
                <w:color w:val="auto"/>
                <w:shd w:val="clear" w:color="auto" w:fill="FFFFFF" w:themeFill="background1"/>
              </w:rPr>
              <w:t>appropriate services.</w:t>
            </w:r>
            <w:r>
              <w:rPr>
                <w:rFonts w:cs="Arial"/>
                <w:color w:val="auto"/>
              </w:rPr>
              <w:t xml:space="preserve"> </w:t>
            </w:r>
          </w:p>
          <w:p w14:paraId="513CDB67" w14:textId="77777777" w:rsidR="00823810" w:rsidRPr="004B77AE" w:rsidRDefault="00823810" w:rsidP="00092477">
            <w:pPr>
              <w:pStyle w:val="TableText"/>
              <w:rPr>
                <w:rFonts w:cs="Arial"/>
                <w:color w:val="auto"/>
              </w:rPr>
            </w:pPr>
          </w:p>
          <w:p w14:paraId="38812066" w14:textId="06B5D2E9" w:rsidR="00823810" w:rsidRPr="004B77AE" w:rsidRDefault="00823810" w:rsidP="00092477">
            <w:pPr>
              <w:pStyle w:val="TableText"/>
              <w:rPr>
                <w:rFonts w:cs="Arial"/>
                <w:color w:val="auto"/>
              </w:rPr>
            </w:pPr>
            <w:r w:rsidRPr="004B77AE">
              <w:rPr>
                <w:rFonts w:cs="Arial"/>
                <w:b/>
                <w:bCs/>
                <w:color w:val="auto"/>
              </w:rPr>
              <w:t>Health and Wellbeing Booklet</w:t>
            </w:r>
          </w:p>
          <w:p w14:paraId="34B0971A" w14:textId="2397E597" w:rsidR="00823810" w:rsidRPr="004B77AE" w:rsidRDefault="00823810" w:rsidP="00092477">
            <w:pPr>
              <w:pStyle w:val="TableText"/>
              <w:rPr>
                <w:rFonts w:cs="Arial"/>
                <w:color w:val="auto"/>
              </w:rPr>
            </w:pPr>
            <w:r w:rsidRPr="004B77AE">
              <w:rPr>
                <w:rFonts w:cs="Arial"/>
                <w:color w:val="auto"/>
              </w:rPr>
              <w:t xml:space="preserve">In August 2023, the ICB launched its first Health and Wellbeing Booklet for staff. This is the first-time information relating to </w:t>
            </w:r>
            <w:proofErr w:type="gramStart"/>
            <w:r w:rsidRPr="004B77AE">
              <w:rPr>
                <w:rFonts w:cs="Arial"/>
                <w:color w:val="auto"/>
              </w:rPr>
              <w:t>staffs</w:t>
            </w:r>
            <w:proofErr w:type="gramEnd"/>
            <w:r w:rsidRPr="004B77AE">
              <w:rPr>
                <w:rFonts w:cs="Arial"/>
                <w:color w:val="auto"/>
              </w:rPr>
              <w:t xml:space="preserve"> health and wellbeing has been pulled together into a single document. The guide includes the following information:</w:t>
            </w:r>
          </w:p>
          <w:p w14:paraId="22A7CA25" w14:textId="0C4811DA" w:rsidR="00823810" w:rsidRPr="004B77AE" w:rsidRDefault="00823810" w:rsidP="00441BD5">
            <w:pPr>
              <w:pStyle w:val="TableText"/>
              <w:numPr>
                <w:ilvl w:val="0"/>
                <w:numId w:val="14"/>
              </w:numPr>
              <w:rPr>
                <w:rFonts w:cs="Arial"/>
                <w:color w:val="auto"/>
              </w:rPr>
            </w:pPr>
            <w:r w:rsidRPr="004B77AE">
              <w:rPr>
                <w:rFonts w:cs="Arial"/>
                <w:color w:val="auto"/>
              </w:rPr>
              <w:t>Overview of the weekly, monthly, and quarterly wellbeing offer in the ICB.</w:t>
            </w:r>
          </w:p>
          <w:p w14:paraId="60FEEF1B" w14:textId="5D7E0C43" w:rsidR="00823810" w:rsidRPr="004B77AE" w:rsidRDefault="00823810" w:rsidP="00441BD5">
            <w:pPr>
              <w:pStyle w:val="TableText"/>
              <w:numPr>
                <w:ilvl w:val="0"/>
                <w:numId w:val="14"/>
              </w:numPr>
              <w:rPr>
                <w:rFonts w:cs="Arial"/>
                <w:color w:val="auto"/>
              </w:rPr>
            </w:pPr>
            <w:r w:rsidRPr="004B77AE">
              <w:rPr>
                <w:rFonts w:cs="Arial"/>
                <w:color w:val="auto"/>
              </w:rPr>
              <w:t>Staff Equality Networks:</w:t>
            </w:r>
          </w:p>
          <w:p w14:paraId="4DA9A15A" w14:textId="3A3D5A1F" w:rsidR="00823810" w:rsidRPr="004B77AE" w:rsidRDefault="00823810" w:rsidP="00441BD5">
            <w:pPr>
              <w:pStyle w:val="TableText"/>
              <w:numPr>
                <w:ilvl w:val="1"/>
                <w:numId w:val="14"/>
              </w:numPr>
              <w:rPr>
                <w:rFonts w:cs="Arial"/>
                <w:color w:val="auto"/>
              </w:rPr>
            </w:pPr>
            <w:r w:rsidRPr="004B77AE">
              <w:rPr>
                <w:rFonts w:cs="Arial"/>
                <w:color w:val="auto"/>
              </w:rPr>
              <w:t>Disability And Wellbeing and Neurodiversity (DAWN) Network.</w:t>
            </w:r>
          </w:p>
          <w:p w14:paraId="5090939B" w14:textId="5F81F21B" w:rsidR="00823810" w:rsidRPr="004B77AE" w:rsidRDefault="00823810" w:rsidP="00441BD5">
            <w:pPr>
              <w:pStyle w:val="TableText"/>
              <w:numPr>
                <w:ilvl w:val="1"/>
                <w:numId w:val="14"/>
              </w:numPr>
              <w:rPr>
                <w:rFonts w:cs="Arial"/>
                <w:color w:val="auto"/>
              </w:rPr>
            </w:pPr>
            <w:r w:rsidRPr="004B77AE">
              <w:rPr>
                <w:rFonts w:cs="Arial"/>
                <w:color w:val="auto"/>
              </w:rPr>
              <w:t>LGBTQ+ Network.</w:t>
            </w:r>
          </w:p>
          <w:p w14:paraId="67EE9160" w14:textId="5E32150E" w:rsidR="00823810" w:rsidRPr="004B77AE" w:rsidRDefault="00823810" w:rsidP="00441BD5">
            <w:pPr>
              <w:pStyle w:val="TableText"/>
              <w:numPr>
                <w:ilvl w:val="1"/>
                <w:numId w:val="14"/>
              </w:numPr>
              <w:rPr>
                <w:rFonts w:cs="Arial"/>
                <w:color w:val="auto"/>
              </w:rPr>
            </w:pPr>
            <w:r w:rsidRPr="004B77AE">
              <w:rPr>
                <w:rFonts w:cs="Arial"/>
                <w:color w:val="auto"/>
              </w:rPr>
              <w:t>Race, Ethnicity, and Culture (REC) Network.</w:t>
            </w:r>
          </w:p>
          <w:p w14:paraId="58AD4B3D" w14:textId="0F21416E" w:rsidR="00823810" w:rsidRPr="004B77AE" w:rsidRDefault="00823810" w:rsidP="00441BD5">
            <w:pPr>
              <w:pStyle w:val="TableText"/>
              <w:numPr>
                <w:ilvl w:val="1"/>
                <w:numId w:val="14"/>
              </w:numPr>
              <w:rPr>
                <w:rFonts w:cs="Arial"/>
                <w:color w:val="auto"/>
              </w:rPr>
            </w:pPr>
            <w:r w:rsidRPr="004B77AE">
              <w:rPr>
                <w:rFonts w:cs="Arial"/>
                <w:color w:val="auto"/>
              </w:rPr>
              <w:t>Staff Engagement Group (SEG).</w:t>
            </w:r>
          </w:p>
          <w:p w14:paraId="33689B5F" w14:textId="04FE2D7E" w:rsidR="00823810" w:rsidRPr="004B77AE" w:rsidRDefault="00823810" w:rsidP="00441BD5">
            <w:pPr>
              <w:pStyle w:val="TableText"/>
              <w:numPr>
                <w:ilvl w:val="0"/>
                <w:numId w:val="14"/>
              </w:numPr>
              <w:rPr>
                <w:rFonts w:cs="Arial"/>
                <w:color w:val="auto"/>
              </w:rPr>
            </w:pPr>
            <w:r w:rsidRPr="004B77AE">
              <w:rPr>
                <w:rFonts w:cs="Arial"/>
                <w:color w:val="auto"/>
              </w:rPr>
              <w:t>Hybrid Working, including:</w:t>
            </w:r>
          </w:p>
          <w:p w14:paraId="419BB644" w14:textId="7113EA3F" w:rsidR="00823810" w:rsidRPr="004B77AE" w:rsidRDefault="00823810" w:rsidP="00441BD5">
            <w:pPr>
              <w:pStyle w:val="TableText"/>
              <w:numPr>
                <w:ilvl w:val="1"/>
                <w:numId w:val="14"/>
              </w:numPr>
              <w:rPr>
                <w:rFonts w:cs="Arial"/>
                <w:color w:val="auto"/>
              </w:rPr>
            </w:pPr>
            <w:r w:rsidRPr="004B77AE">
              <w:rPr>
                <w:rFonts w:cs="Arial"/>
                <w:color w:val="auto"/>
              </w:rPr>
              <w:t>Home Working Resources.</w:t>
            </w:r>
          </w:p>
          <w:p w14:paraId="363F1D76" w14:textId="4AD7448A" w:rsidR="00823810" w:rsidRPr="004B77AE" w:rsidRDefault="00823810" w:rsidP="00441BD5">
            <w:pPr>
              <w:pStyle w:val="TableText"/>
              <w:numPr>
                <w:ilvl w:val="1"/>
                <w:numId w:val="14"/>
              </w:numPr>
              <w:rPr>
                <w:rFonts w:cs="Arial"/>
                <w:color w:val="auto"/>
              </w:rPr>
            </w:pPr>
            <w:r w:rsidRPr="004B77AE">
              <w:rPr>
                <w:rFonts w:cs="Arial"/>
                <w:color w:val="auto"/>
              </w:rPr>
              <w:t>Wellbeing in Offices.</w:t>
            </w:r>
          </w:p>
          <w:p w14:paraId="622EBED8" w14:textId="1D037B51" w:rsidR="00823810" w:rsidRPr="004B77AE" w:rsidRDefault="00823810" w:rsidP="00441BD5">
            <w:pPr>
              <w:pStyle w:val="TableText"/>
              <w:numPr>
                <w:ilvl w:val="0"/>
                <w:numId w:val="14"/>
              </w:numPr>
              <w:rPr>
                <w:rFonts w:cs="Arial"/>
                <w:color w:val="auto"/>
              </w:rPr>
            </w:pPr>
            <w:r w:rsidRPr="004B77AE">
              <w:rPr>
                <w:rFonts w:cs="Arial"/>
                <w:color w:val="auto"/>
              </w:rPr>
              <w:t>Display Screen Equipment (DSE).</w:t>
            </w:r>
          </w:p>
          <w:p w14:paraId="665F9F4C" w14:textId="30277FCD" w:rsidR="00823810" w:rsidRPr="004B77AE" w:rsidRDefault="00823810" w:rsidP="00441BD5">
            <w:pPr>
              <w:pStyle w:val="TableText"/>
              <w:numPr>
                <w:ilvl w:val="0"/>
                <w:numId w:val="14"/>
              </w:numPr>
              <w:rPr>
                <w:rFonts w:cs="Arial"/>
                <w:color w:val="auto"/>
              </w:rPr>
            </w:pPr>
            <w:r w:rsidRPr="004B77AE">
              <w:rPr>
                <w:rFonts w:cs="Arial"/>
                <w:color w:val="auto"/>
              </w:rPr>
              <w:t>Mental Health First Aiders.</w:t>
            </w:r>
          </w:p>
          <w:p w14:paraId="74334B89" w14:textId="570860B0" w:rsidR="00823810" w:rsidRPr="004B77AE" w:rsidRDefault="00823810" w:rsidP="00441BD5">
            <w:pPr>
              <w:pStyle w:val="TableText"/>
              <w:numPr>
                <w:ilvl w:val="0"/>
                <w:numId w:val="14"/>
              </w:numPr>
              <w:rPr>
                <w:rFonts w:cs="Arial"/>
                <w:color w:val="auto"/>
              </w:rPr>
            </w:pPr>
            <w:r w:rsidRPr="004B77AE">
              <w:rPr>
                <w:rFonts w:cs="Arial"/>
                <w:color w:val="auto"/>
              </w:rPr>
              <w:t>Occupational Health.</w:t>
            </w:r>
          </w:p>
          <w:p w14:paraId="2A48BEC5" w14:textId="31D43355" w:rsidR="00823810" w:rsidRPr="004B77AE" w:rsidRDefault="00823810" w:rsidP="00441BD5">
            <w:pPr>
              <w:pStyle w:val="TableText"/>
              <w:numPr>
                <w:ilvl w:val="0"/>
                <w:numId w:val="14"/>
              </w:numPr>
              <w:rPr>
                <w:rFonts w:cs="Arial"/>
                <w:color w:val="auto"/>
              </w:rPr>
            </w:pPr>
            <w:r w:rsidRPr="004B77AE">
              <w:rPr>
                <w:rFonts w:cs="Arial"/>
                <w:color w:val="auto"/>
              </w:rPr>
              <w:t>Employee Assistance and Benefits Programme, including:</w:t>
            </w:r>
          </w:p>
          <w:p w14:paraId="41A4EA1D" w14:textId="5EB119B2" w:rsidR="00823810" w:rsidRPr="004B77AE" w:rsidRDefault="00823810" w:rsidP="00441BD5">
            <w:pPr>
              <w:pStyle w:val="TableText"/>
              <w:numPr>
                <w:ilvl w:val="1"/>
                <w:numId w:val="14"/>
              </w:numPr>
              <w:rPr>
                <w:rFonts w:cs="Arial"/>
                <w:color w:val="auto"/>
              </w:rPr>
            </w:pPr>
            <w:r w:rsidRPr="004B77AE">
              <w:rPr>
                <w:rFonts w:cs="Arial"/>
                <w:color w:val="auto"/>
              </w:rPr>
              <w:t>Cycle to Work Scheme.</w:t>
            </w:r>
          </w:p>
          <w:p w14:paraId="62239086" w14:textId="3149E656" w:rsidR="00823810" w:rsidRPr="004B77AE" w:rsidRDefault="00823810" w:rsidP="00441BD5">
            <w:pPr>
              <w:pStyle w:val="TableText"/>
              <w:numPr>
                <w:ilvl w:val="1"/>
                <w:numId w:val="14"/>
              </w:numPr>
              <w:rPr>
                <w:rFonts w:cs="Arial"/>
                <w:color w:val="auto"/>
              </w:rPr>
            </w:pPr>
            <w:r w:rsidRPr="004B77AE">
              <w:rPr>
                <w:rFonts w:cs="Arial"/>
                <w:color w:val="auto"/>
              </w:rPr>
              <w:t>Bus and Tram Travel Schemes.</w:t>
            </w:r>
          </w:p>
          <w:p w14:paraId="30EAF49C" w14:textId="00C50115" w:rsidR="00823810" w:rsidRPr="004B77AE" w:rsidRDefault="00823810" w:rsidP="00441BD5">
            <w:pPr>
              <w:pStyle w:val="TableText"/>
              <w:numPr>
                <w:ilvl w:val="1"/>
                <w:numId w:val="14"/>
              </w:numPr>
              <w:rPr>
                <w:rFonts w:cs="Arial"/>
                <w:color w:val="auto"/>
              </w:rPr>
            </w:pPr>
            <w:r w:rsidRPr="004B77AE">
              <w:rPr>
                <w:rFonts w:cs="Arial"/>
                <w:color w:val="auto"/>
              </w:rPr>
              <w:t>Staff Support Hub.</w:t>
            </w:r>
          </w:p>
          <w:p w14:paraId="32CDE1BF" w14:textId="6F985E39" w:rsidR="00823810" w:rsidRPr="004B77AE" w:rsidRDefault="00823810" w:rsidP="00441BD5">
            <w:pPr>
              <w:pStyle w:val="TableText"/>
              <w:numPr>
                <w:ilvl w:val="0"/>
                <w:numId w:val="14"/>
              </w:numPr>
              <w:rPr>
                <w:rFonts w:cs="Arial"/>
                <w:color w:val="auto"/>
              </w:rPr>
            </w:pPr>
            <w:r w:rsidRPr="004B77AE">
              <w:rPr>
                <w:rFonts w:cs="Arial"/>
                <w:color w:val="auto"/>
              </w:rPr>
              <w:t>Wellbeing for Everyone – Top Tips for Teams and Individuals, including:</w:t>
            </w:r>
          </w:p>
          <w:p w14:paraId="5AC77CEE" w14:textId="2C8AEC56" w:rsidR="00823810" w:rsidRPr="004B77AE" w:rsidRDefault="00823810" w:rsidP="00441BD5">
            <w:pPr>
              <w:pStyle w:val="TableText"/>
              <w:numPr>
                <w:ilvl w:val="1"/>
                <w:numId w:val="14"/>
              </w:numPr>
              <w:rPr>
                <w:rFonts w:cs="Arial"/>
                <w:color w:val="auto"/>
              </w:rPr>
            </w:pPr>
            <w:r w:rsidRPr="004B77AE">
              <w:rPr>
                <w:rFonts w:cs="Arial"/>
                <w:color w:val="auto"/>
              </w:rPr>
              <w:lastRenderedPageBreak/>
              <w:t xml:space="preserve">Shorten meetings by 5 to 10 minutes to allow </w:t>
            </w:r>
            <w:proofErr w:type="gramStart"/>
            <w:r w:rsidRPr="004B77AE">
              <w:rPr>
                <w:rFonts w:cs="Arial"/>
                <w:color w:val="auto"/>
              </w:rPr>
              <w:t>mini-breaks</w:t>
            </w:r>
            <w:proofErr w:type="gramEnd"/>
            <w:r w:rsidRPr="004B77AE">
              <w:rPr>
                <w:rFonts w:cs="Arial"/>
                <w:color w:val="auto"/>
              </w:rPr>
              <w:t xml:space="preserve"> between them.</w:t>
            </w:r>
          </w:p>
          <w:p w14:paraId="7346352A" w14:textId="23608547" w:rsidR="00823810" w:rsidRPr="004B77AE" w:rsidRDefault="00823810" w:rsidP="00441BD5">
            <w:pPr>
              <w:pStyle w:val="TableText"/>
              <w:numPr>
                <w:ilvl w:val="1"/>
                <w:numId w:val="14"/>
              </w:numPr>
              <w:rPr>
                <w:rFonts w:cs="Arial"/>
                <w:color w:val="auto"/>
              </w:rPr>
            </w:pPr>
            <w:r w:rsidRPr="004B77AE">
              <w:rPr>
                <w:rFonts w:cs="Arial"/>
                <w:color w:val="auto"/>
              </w:rPr>
              <w:t>Diarise breaks and lunch breaks into your day.</w:t>
            </w:r>
          </w:p>
          <w:p w14:paraId="7D972655" w14:textId="36F22245" w:rsidR="00823810" w:rsidRPr="004B77AE" w:rsidRDefault="00823810" w:rsidP="00441BD5">
            <w:pPr>
              <w:pStyle w:val="TableText"/>
              <w:numPr>
                <w:ilvl w:val="1"/>
                <w:numId w:val="14"/>
              </w:numPr>
              <w:rPr>
                <w:rFonts w:cs="Arial"/>
                <w:color w:val="auto"/>
              </w:rPr>
            </w:pPr>
            <w:r w:rsidRPr="004B77AE">
              <w:rPr>
                <w:rFonts w:cs="Arial"/>
                <w:color w:val="auto"/>
              </w:rPr>
              <w:t>Tips on keeping active whilst working (e.g., use a standing desk to take phone calls).</w:t>
            </w:r>
          </w:p>
          <w:p w14:paraId="183807A1" w14:textId="7162A39C" w:rsidR="00823810" w:rsidRPr="004B77AE" w:rsidRDefault="00823810" w:rsidP="00441BD5">
            <w:pPr>
              <w:pStyle w:val="TableText"/>
              <w:numPr>
                <w:ilvl w:val="1"/>
                <w:numId w:val="14"/>
              </w:numPr>
              <w:rPr>
                <w:rFonts w:cs="Arial"/>
                <w:color w:val="auto"/>
              </w:rPr>
            </w:pPr>
            <w:r w:rsidRPr="004B77AE">
              <w:rPr>
                <w:rFonts w:cs="Arial"/>
                <w:color w:val="auto"/>
              </w:rPr>
              <w:t>Inclusion (e.g., using gender neutral language and pronouns to introduce yourself).</w:t>
            </w:r>
          </w:p>
          <w:p w14:paraId="3DDDC386" w14:textId="2C508A1E" w:rsidR="00823810" w:rsidRPr="004B77AE" w:rsidRDefault="00823810" w:rsidP="00441BD5">
            <w:pPr>
              <w:pStyle w:val="TableText"/>
              <w:numPr>
                <w:ilvl w:val="0"/>
                <w:numId w:val="14"/>
              </w:numPr>
              <w:rPr>
                <w:rFonts w:cs="Arial"/>
                <w:color w:val="auto"/>
              </w:rPr>
            </w:pPr>
            <w:r w:rsidRPr="004B77AE">
              <w:rPr>
                <w:rFonts w:cs="Arial"/>
                <w:color w:val="auto"/>
              </w:rPr>
              <w:t>Links to more info about the Wellbeing offer in the ICB.</w:t>
            </w:r>
          </w:p>
          <w:p w14:paraId="1DB73580" w14:textId="2FB58863" w:rsidR="00823810" w:rsidRPr="004B77AE" w:rsidRDefault="00823810" w:rsidP="00441BD5">
            <w:pPr>
              <w:pStyle w:val="TableText"/>
              <w:numPr>
                <w:ilvl w:val="0"/>
                <w:numId w:val="14"/>
              </w:numPr>
              <w:rPr>
                <w:rFonts w:cs="Arial"/>
                <w:color w:val="auto"/>
              </w:rPr>
            </w:pPr>
            <w:r w:rsidRPr="004B77AE">
              <w:rPr>
                <w:rFonts w:cs="Arial"/>
                <w:color w:val="auto"/>
              </w:rPr>
              <w:t>Contact information for Staff Networks, EDI, and HR.</w:t>
            </w:r>
          </w:p>
          <w:p w14:paraId="570BF5BA" w14:textId="77777777" w:rsidR="00823810" w:rsidRPr="004B77AE" w:rsidRDefault="00823810" w:rsidP="00092477">
            <w:pPr>
              <w:pStyle w:val="TableText"/>
              <w:rPr>
                <w:rFonts w:cs="Arial"/>
                <w:color w:val="auto"/>
              </w:rPr>
            </w:pPr>
          </w:p>
          <w:p w14:paraId="1C08251E" w14:textId="77777777" w:rsidR="00823810" w:rsidRPr="004B77AE" w:rsidRDefault="00823810" w:rsidP="00092477">
            <w:pPr>
              <w:pStyle w:val="TableText"/>
              <w:rPr>
                <w:rFonts w:cs="Arial"/>
                <w:color w:val="auto"/>
              </w:rPr>
            </w:pPr>
            <w:r w:rsidRPr="004B77AE">
              <w:rPr>
                <w:rFonts w:cs="Arial"/>
                <w:b/>
                <w:bCs/>
                <w:color w:val="auto"/>
              </w:rPr>
              <w:t>Occupational Health Offering</w:t>
            </w:r>
          </w:p>
          <w:p w14:paraId="44090126" w14:textId="77777777" w:rsidR="00823810" w:rsidRPr="004B77AE" w:rsidRDefault="00823810" w:rsidP="00092477">
            <w:pPr>
              <w:pStyle w:val="TableText"/>
              <w:rPr>
                <w:rFonts w:cs="Arial"/>
                <w:color w:val="auto"/>
              </w:rPr>
            </w:pPr>
            <w:r w:rsidRPr="004B77AE">
              <w:rPr>
                <w:rFonts w:cs="Arial"/>
                <w:color w:val="auto"/>
              </w:rPr>
              <w:t>A new occupational health provider began providing OH services for the ICB in June 2023. The service replaces the previous offer with a broader offering for staff.</w:t>
            </w:r>
          </w:p>
          <w:p w14:paraId="6462F699" w14:textId="77777777" w:rsidR="00823810" w:rsidRPr="004B77AE" w:rsidRDefault="00823810" w:rsidP="00092477">
            <w:pPr>
              <w:pStyle w:val="TableText"/>
              <w:rPr>
                <w:rFonts w:cs="Arial"/>
                <w:color w:val="auto"/>
              </w:rPr>
            </w:pPr>
          </w:p>
          <w:p w14:paraId="3A329F85" w14:textId="77777777" w:rsidR="00823810" w:rsidRDefault="00823810" w:rsidP="00092477">
            <w:pPr>
              <w:pStyle w:val="TableText"/>
              <w:rPr>
                <w:rFonts w:cs="Arial"/>
                <w:color w:val="auto"/>
              </w:rPr>
            </w:pPr>
            <w:r w:rsidRPr="004B77AE">
              <w:rPr>
                <w:rFonts w:cs="Arial"/>
                <w:color w:val="auto"/>
              </w:rPr>
              <w:t>The new OH provider is currently getting established within the ICB, and future evaluation work will be undertaken to understand the impact and ‘satisfaction’ ratings.</w:t>
            </w:r>
          </w:p>
          <w:p w14:paraId="2EB2341D" w14:textId="77777777" w:rsidR="001D3211" w:rsidRDefault="001D3211" w:rsidP="00092477">
            <w:pPr>
              <w:pStyle w:val="TableText"/>
              <w:rPr>
                <w:rFonts w:cs="Arial"/>
                <w:color w:val="auto"/>
              </w:rPr>
            </w:pPr>
          </w:p>
          <w:p w14:paraId="67026675" w14:textId="77777777" w:rsidR="001D3211" w:rsidRPr="004A3123" w:rsidRDefault="001D3211" w:rsidP="00092477">
            <w:pPr>
              <w:pStyle w:val="TableText"/>
              <w:rPr>
                <w:rFonts w:cs="Arial"/>
                <w:b/>
                <w:bCs/>
                <w:color w:val="auto"/>
              </w:rPr>
            </w:pPr>
            <w:r w:rsidRPr="004A3123">
              <w:rPr>
                <w:rFonts w:cs="Arial"/>
                <w:b/>
                <w:bCs/>
                <w:color w:val="auto"/>
              </w:rPr>
              <w:t>Employee Assistance Programme.</w:t>
            </w:r>
          </w:p>
          <w:p w14:paraId="35F6B242" w14:textId="71095066" w:rsidR="001D3211" w:rsidRPr="004A3123" w:rsidRDefault="001D3211" w:rsidP="00092477">
            <w:pPr>
              <w:pStyle w:val="TableText"/>
              <w:rPr>
                <w:rFonts w:cs="Arial"/>
                <w:color w:val="auto"/>
              </w:rPr>
            </w:pPr>
            <w:r w:rsidRPr="004A3123">
              <w:rPr>
                <w:rFonts w:cs="Arial"/>
                <w:color w:val="auto"/>
              </w:rPr>
              <w:t xml:space="preserve">Through our Occupational Health </w:t>
            </w:r>
            <w:proofErr w:type="gramStart"/>
            <w:r w:rsidRPr="004A3123">
              <w:rPr>
                <w:rFonts w:cs="Arial"/>
                <w:color w:val="auto"/>
              </w:rPr>
              <w:t>contract</w:t>
            </w:r>
            <w:proofErr w:type="gramEnd"/>
            <w:r w:rsidRPr="004A3123">
              <w:rPr>
                <w:rFonts w:cs="Arial"/>
                <w:color w:val="auto"/>
              </w:rPr>
              <w:t xml:space="preserve"> the ICB is able to offer staff access to an Employee Assistance Programme.</w:t>
            </w:r>
            <w:r w:rsidR="00D50E44" w:rsidRPr="004A3123">
              <w:rPr>
                <w:rFonts w:cs="Arial"/>
                <w:color w:val="auto"/>
              </w:rPr>
              <w:t xml:space="preserve"> The EAP offers a range of services to staff including:</w:t>
            </w:r>
          </w:p>
          <w:p w14:paraId="40CCA94D" w14:textId="49838ECC" w:rsidR="00D50E44" w:rsidRPr="004A3123" w:rsidRDefault="00D50E44" w:rsidP="00441BD5">
            <w:pPr>
              <w:pStyle w:val="TableText"/>
              <w:numPr>
                <w:ilvl w:val="0"/>
                <w:numId w:val="18"/>
              </w:numPr>
              <w:rPr>
                <w:rFonts w:cs="Arial"/>
                <w:color w:val="auto"/>
              </w:rPr>
            </w:pPr>
            <w:r w:rsidRPr="004A3123">
              <w:rPr>
                <w:rFonts w:cs="Arial"/>
                <w:color w:val="auto"/>
              </w:rPr>
              <w:t>Life support: Access to counselling for emotional problems and a pathway to structured therapy sessions.</w:t>
            </w:r>
          </w:p>
          <w:p w14:paraId="6427C425" w14:textId="027F3FD6" w:rsidR="00D50E44" w:rsidRPr="004A3123" w:rsidRDefault="00D50E44" w:rsidP="00441BD5">
            <w:pPr>
              <w:pStyle w:val="TableText"/>
              <w:numPr>
                <w:ilvl w:val="0"/>
                <w:numId w:val="18"/>
              </w:numPr>
              <w:rPr>
                <w:rFonts w:cs="Arial"/>
                <w:color w:val="auto"/>
              </w:rPr>
            </w:pPr>
            <w:r w:rsidRPr="004A3123">
              <w:rPr>
                <w:rFonts w:cs="Arial"/>
                <w:color w:val="auto"/>
              </w:rPr>
              <w:t xml:space="preserve">Legal information: For issues that cause anxiety or distress, including </w:t>
            </w:r>
            <w:r w:rsidR="00584332" w:rsidRPr="004A3123">
              <w:rPr>
                <w:rFonts w:cs="Arial"/>
                <w:color w:val="auto"/>
              </w:rPr>
              <w:t>debt</w:t>
            </w:r>
            <w:r w:rsidRPr="004A3123">
              <w:rPr>
                <w:rFonts w:cs="Arial"/>
                <w:color w:val="auto"/>
              </w:rPr>
              <w:t xml:space="preserve"> management, consumer, </w:t>
            </w:r>
            <w:proofErr w:type="gramStart"/>
            <w:r w:rsidRPr="004A3123">
              <w:rPr>
                <w:rFonts w:cs="Arial"/>
                <w:color w:val="auto"/>
              </w:rPr>
              <w:t>property</w:t>
            </w:r>
            <w:proofErr w:type="gramEnd"/>
            <w:r w:rsidRPr="004A3123">
              <w:rPr>
                <w:rFonts w:cs="Arial"/>
                <w:color w:val="auto"/>
              </w:rPr>
              <w:t xml:space="preserve"> or </w:t>
            </w:r>
            <w:r w:rsidR="00584332" w:rsidRPr="004A3123">
              <w:rPr>
                <w:rFonts w:cs="Arial"/>
                <w:color w:val="auto"/>
              </w:rPr>
              <w:t>neighbour</w:t>
            </w:r>
            <w:r w:rsidRPr="004A3123">
              <w:rPr>
                <w:rFonts w:cs="Arial"/>
                <w:color w:val="auto"/>
              </w:rPr>
              <w:t xml:space="preserve"> disputes.</w:t>
            </w:r>
          </w:p>
          <w:p w14:paraId="7B121D49" w14:textId="4A3ECA1C" w:rsidR="00D50E44" w:rsidRPr="004A3123" w:rsidRDefault="00D50E44" w:rsidP="00441BD5">
            <w:pPr>
              <w:pStyle w:val="TableText"/>
              <w:numPr>
                <w:ilvl w:val="0"/>
                <w:numId w:val="18"/>
              </w:numPr>
              <w:rPr>
                <w:rFonts w:cs="Arial"/>
                <w:color w:val="auto"/>
              </w:rPr>
            </w:pPr>
            <w:r w:rsidRPr="004A3123">
              <w:rPr>
                <w:rFonts w:cs="Arial"/>
                <w:color w:val="auto"/>
              </w:rPr>
              <w:t xml:space="preserve">Bereavement support: staff have access to </w:t>
            </w:r>
            <w:r w:rsidR="00584332" w:rsidRPr="004A3123">
              <w:rPr>
                <w:rFonts w:cs="Arial"/>
                <w:color w:val="auto"/>
              </w:rPr>
              <w:t>qualified</w:t>
            </w:r>
            <w:r w:rsidRPr="004A3123">
              <w:rPr>
                <w:rFonts w:cs="Arial"/>
                <w:color w:val="auto"/>
              </w:rPr>
              <w:t xml:space="preserve"> and experience counsellors who ca help with grief plus legal advisors to help with related leal matters.</w:t>
            </w:r>
          </w:p>
          <w:p w14:paraId="39E70DC2" w14:textId="21A3311A" w:rsidR="00D50E44" w:rsidRPr="004A3123" w:rsidRDefault="00D50E44" w:rsidP="00441BD5">
            <w:pPr>
              <w:pStyle w:val="TableText"/>
              <w:numPr>
                <w:ilvl w:val="0"/>
                <w:numId w:val="18"/>
              </w:numPr>
              <w:rPr>
                <w:rFonts w:cs="Arial"/>
                <w:color w:val="auto"/>
              </w:rPr>
            </w:pPr>
            <w:r w:rsidRPr="004A3123">
              <w:rPr>
                <w:rFonts w:cs="Arial"/>
                <w:color w:val="auto"/>
              </w:rPr>
              <w:lastRenderedPageBreak/>
              <w:t>Medical information: Qualified nurses are on hand to offer support on a range of medical or health related issues offering practical information and advice.</w:t>
            </w:r>
          </w:p>
          <w:p w14:paraId="1F3CF4F4" w14:textId="70B376F7" w:rsidR="00D50E44" w:rsidRPr="004A3123" w:rsidRDefault="00D50E44" w:rsidP="00441BD5">
            <w:pPr>
              <w:pStyle w:val="TableText"/>
              <w:numPr>
                <w:ilvl w:val="0"/>
                <w:numId w:val="18"/>
              </w:numPr>
              <w:rPr>
                <w:rFonts w:cs="Arial"/>
                <w:color w:val="auto"/>
              </w:rPr>
            </w:pPr>
            <w:r w:rsidRPr="004A3123">
              <w:rPr>
                <w:rFonts w:cs="Arial"/>
                <w:color w:val="auto"/>
              </w:rPr>
              <w:t xml:space="preserve">Online CBT: The EAP recognises the value of self-help tools in dealing with a range of issues. Staff have access to CBT </w:t>
            </w:r>
            <w:proofErr w:type="spellStart"/>
            <w:r w:rsidRPr="004A3123">
              <w:rPr>
                <w:rFonts w:cs="Arial"/>
                <w:color w:val="auto"/>
              </w:rPr>
              <w:t>self help</w:t>
            </w:r>
            <w:proofErr w:type="spellEnd"/>
            <w:r w:rsidRPr="004A3123">
              <w:rPr>
                <w:rFonts w:cs="Arial"/>
                <w:color w:val="auto"/>
              </w:rPr>
              <w:t xml:space="preserve"> </w:t>
            </w:r>
            <w:proofErr w:type="gramStart"/>
            <w:r w:rsidRPr="004A3123">
              <w:rPr>
                <w:rFonts w:cs="Arial"/>
                <w:color w:val="auto"/>
              </w:rPr>
              <w:t>modules,</w:t>
            </w:r>
            <w:proofErr w:type="gramEnd"/>
            <w:r w:rsidRPr="004A3123">
              <w:rPr>
                <w:rFonts w:cs="Arial"/>
                <w:color w:val="auto"/>
              </w:rPr>
              <w:t xml:space="preserve"> informative fact sheets and video advise from leading qualified counsellors.</w:t>
            </w:r>
          </w:p>
          <w:p w14:paraId="543ED068" w14:textId="113A5F14" w:rsidR="00D50E44" w:rsidRPr="004A3123" w:rsidRDefault="00D50E44" w:rsidP="00092477">
            <w:pPr>
              <w:pStyle w:val="TableText"/>
              <w:rPr>
                <w:rFonts w:cs="Arial"/>
                <w:color w:val="auto"/>
              </w:rPr>
            </w:pPr>
          </w:p>
          <w:p w14:paraId="399B4DC1" w14:textId="00B89C85" w:rsidR="00D50E44" w:rsidRPr="004A3123" w:rsidRDefault="00D50E44" w:rsidP="00092477">
            <w:pPr>
              <w:pStyle w:val="TableText"/>
              <w:rPr>
                <w:rFonts w:cs="Arial"/>
                <w:color w:val="auto"/>
              </w:rPr>
            </w:pPr>
            <w:r w:rsidRPr="004A3123">
              <w:rPr>
                <w:rFonts w:cs="Arial"/>
                <w:color w:val="auto"/>
              </w:rPr>
              <w:t xml:space="preserve">Via the EAP, staff also have access to a Health and Wellbeing app. This is a comprehensive </w:t>
            </w:r>
            <w:proofErr w:type="gramStart"/>
            <w:r w:rsidRPr="004A3123">
              <w:rPr>
                <w:rFonts w:cs="Arial"/>
                <w:color w:val="auto"/>
              </w:rPr>
              <w:t>tool  to</w:t>
            </w:r>
            <w:proofErr w:type="gramEnd"/>
            <w:r w:rsidRPr="004A3123">
              <w:rPr>
                <w:rFonts w:cs="Arial"/>
                <w:color w:val="auto"/>
              </w:rPr>
              <w:t xml:space="preserve"> support staff in all elements of their Health and Wellbeing. The app provides a range of features all designed to support staff, that include but are not limited to:</w:t>
            </w:r>
          </w:p>
          <w:p w14:paraId="2341BF37" w14:textId="765177FE" w:rsidR="00D50E44" w:rsidRPr="004A3123" w:rsidRDefault="00D50E44" w:rsidP="00441BD5">
            <w:pPr>
              <w:pStyle w:val="TableText"/>
              <w:numPr>
                <w:ilvl w:val="0"/>
                <w:numId w:val="19"/>
              </w:numPr>
              <w:rPr>
                <w:rFonts w:cs="Arial"/>
                <w:color w:val="auto"/>
              </w:rPr>
            </w:pPr>
            <w:r w:rsidRPr="004A3123">
              <w:rPr>
                <w:rFonts w:cs="Arial"/>
                <w:color w:val="auto"/>
              </w:rPr>
              <w:t>Live chat and support</w:t>
            </w:r>
          </w:p>
          <w:p w14:paraId="4702B72E" w14:textId="62487AA9" w:rsidR="00D50E44" w:rsidRPr="004A3123" w:rsidRDefault="00D50E44" w:rsidP="00441BD5">
            <w:pPr>
              <w:pStyle w:val="TableText"/>
              <w:numPr>
                <w:ilvl w:val="0"/>
                <w:numId w:val="19"/>
              </w:numPr>
              <w:rPr>
                <w:rFonts w:cs="Arial"/>
                <w:color w:val="auto"/>
              </w:rPr>
            </w:pPr>
            <w:r w:rsidRPr="004A3123">
              <w:rPr>
                <w:rFonts w:cs="Arial"/>
                <w:color w:val="auto"/>
              </w:rPr>
              <w:t xml:space="preserve">Personalised news feed, designed around individual health and wellbeing </w:t>
            </w:r>
            <w:proofErr w:type="gramStart"/>
            <w:r w:rsidRPr="004A3123">
              <w:rPr>
                <w:rFonts w:cs="Arial"/>
                <w:color w:val="auto"/>
              </w:rPr>
              <w:t>priorities</w:t>
            </w:r>
            <w:proofErr w:type="gramEnd"/>
          </w:p>
          <w:p w14:paraId="7C14D40F" w14:textId="7158ADB3" w:rsidR="00D50E44" w:rsidRPr="004A3123" w:rsidRDefault="00D50E44" w:rsidP="00441BD5">
            <w:pPr>
              <w:pStyle w:val="TableText"/>
              <w:numPr>
                <w:ilvl w:val="0"/>
                <w:numId w:val="19"/>
              </w:numPr>
              <w:rPr>
                <w:rFonts w:cs="Arial"/>
                <w:color w:val="auto"/>
              </w:rPr>
            </w:pPr>
            <w:r w:rsidRPr="004A3123">
              <w:rPr>
                <w:rFonts w:cs="Arial"/>
                <w:color w:val="auto"/>
              </w:rPr>
              <w:t>Weekly mood tracker</w:t>
            </w:r>
          </w:p>
          <w:p w14:paraId="42EA94BE" w14:textId="1687546F" w:rsidR="00D50E44" w:rsidRPr="004A3123" w:rsidRDefault="00D50E44" w:rsidP="00441BD5">
            <w:pPr>
              <w:pStyle w:val="TableText"/>
              <w:numPr>
                <w:ilvl w:val="0"/>
                <w:numId w:val="19"/>
              </w:numPr>
              <w:rPr>
                <w:rFonts w:cs="Arial"/>
                <w:color w:val="auto"/>
              </w:rPr>
            </w:pPr>
            <w:proofErr w:type="gramStart"/>
            <w:r w:rsidRPr="004A3123">
              <w:rPr>
                <w:rFonts w:cs="Arial"/>
                <w:color w:val="auto"/>
              </w:rPr>
              <w:t>Four week</w:t>
            </w:r>
            <w:proofErr w:type="gramEnd"/>
            <w:r w:rsidRPr="004A3123">
              <w:rPr>
                <w:rFonts w:cs="Arial"/>
                <w:color w:val="auto"/>
              </w:rPr>
              <w:t xml:space="preserve"> plans</w:t>
            </w:r>
          </w:p>
          <w:p w14:paraId="182F8D70" w14:textId="264F6BFB" w:rsidR="001D3211" w:rsidRPr="001D3211" w:rsidRDefault="001D3211" w:rsidP="00092477">
            <w:pPr>
              <w:pStyle w:val="TableText"/>
              <w:rPr>
                <w:rFonts w:cs="Arial"/>
                <w:color w:val="auto"/>
              </w:rPr>
            </w:pPr>
          </w:p>
        </w:tc>
        <w:tc>
          <w:tcPr>
            <w:tcW w:w="1274" w:type="dxa"/>
            <w:shd w:val="clear" w:color="auto" w:fill="B7FFD2" w:themeFill="accent5" w:themeFillTint="33"/>
            <w:vAlign w:val="center"/>
          </w:tcPr>
          <w:p w14:paraId="028CEEA4" w14:textId="77777777" w:rsidR="002A7F73" w:rsidRPr="004B77AE" w:rsidRDefault="002A7F73" w:rsidP="00092477">
            <w:pPr>
              <w:pStyle w:val="TableText"/>
              <w:jc w:val="center"/>
              <w:rPr>
                <w:rFonts w:cs="Arial"/>
                <w:b/>
                <w:bCs/>
                <w:sz w:val="36"/>
                <w:szCs w:val="36"/>
              </w:rPr>
            </w:pPr>
            <w:r w:rsidRPr="004B77AE">
              <w:rPr>
                <w:rFonts w:cs="Arial"/>
                <w:b/>
                <w:bCs/>
                <w:sz w:val="36"/>
                <w:szCs w:val="36"/>
              </w:rPr>
              <w:lastRenderedPageBreak/>
              <w:t>2</w:t>
            </w:r>
          </w:p>
          <w:p w14:paraId="7351D1EF" w14:textId="49D54EE9" w:rsidR="00823810" w:rsidRPr="004B77AE" w:rsidRDefault="002A7F73" w:rsidP="00092477">
            <w:pPr>
              <w:pStyle w:val="TableText"/>
              <w:jc w:val="center"/>
              <w:rPr>
                <w:rFonts w:cs="Arial"/>
                <w:b/>
                <w:bCs/>
                <w:sz w:val="28"/>
                <w:szCs w:val="28"/>
              </w:rPr>
            </w:pPr>
            <w:r w:rsidRPr="004B77AE">
              <w:rPr>
                <w:rFonts w:cs="Arial"/>
                <w:b/>
                <w:bCs/>
                <w:sz w:val="20"/>
                <w:szCs w:val="20"/>
              </w:rPr>
              <w:t>Achievin</w:t>
            </w:r>
            <w:r>
              <w:rPr>
                <w:rFonts w:cs="Arial"/>
                <w:b/>
                <w:bCs/>
                <w:sz w:val="20"/>
                <w:szCs w:val="20"/>
              </w:rPr>
              <w:t xml:space="preserve">g </w:t>
            </w:r>
          </w:p>
        </w:tc>
        <w:tc>
          <w:tcPr>
            <w:tcW w:w="2392" w:type="dxa"/>
          </w:tcPr>
          <w:p w14:paraId="4E98EA9B" w14:textId="77777777" w:rsidR="00823810" w:rsidRPr="004B77AE" w:rsidRDefault="00823810" w:rsidP="00092477">
            <w:pPr>
              <w:pStyle w:val="TableText"/>
              <w:rPr>
                <w:rFonts w:cs="Arial"/>
              </w:rPr>
            </w:pPr>
            <w:r w:rsidRPr="004B77AE">
              <w:rPr>
                <w:rFonts w:cs="Arial"/>
                <w:b/>
                <w:bCs/>
              </w:rPr>
              <w:t>Gemma Waring</w:t>
            </w:r>
          </w:p>
          <w:p w14:paraId="5B6D08A9" w14:textId="77777777" w:rsidR="00823810" w:rsidRPr="004B77AE" w:rsidRDefault="00823810" w:rsidP="00092477">
            <w:pPr>
              <w:pStyle w:val="TableText"/>
              <w:rPr>
                <w:rFonts w:cs="Arial"/>
              </w:rPr>
            </w:pPr>
            <w:r w:rsidRPr="004B77AE">
              <w:rPr>
                <w:rFonts w:cs="Arial"/>
              </w:rPr>
              <w:t>Head of HR and OD</w:t>
            </w:r>
          </w:p>
          <w:p w14:paraId="051A6C8F" w14:textId="77777777" w:rsidR="00823810" w:rsidRPr="004B77AE" w:rsidRDefault="00823810" w:rsidP="00092477">
            <w:pPr>
              <w:pStyle w:val="TableText"/>
              <w:rPr>
                <w:rFonts w:cs="Arial"/>
              </w:rPr>
            </w:pPr>
          </w:p>
          <w:p w14:paraId="6029710E" w14:textId="77777777" w:rsidR="00823810" w:rsidRPr="004B77AE" w:rsidRDefault="00823810" w:rsidP="00092477">
            <w:pPr>
              <w:pStyle w:val="TableText"/>
              <w:rPr>
                <w:rFonts w:cs="Arial"/>
              </w:rPr>
            </w:pPr>
            <w:r w:rsidRPr="004B77AE">
              <w:rPr>
                <w:rFonts w:cs="Arial"/>
                <w:b/>
                <w:bCs/>
              </w:rPr>
              <w:t>Philippa Hunt</w:t>
            </w:r>
          </w:p>
          <w:p w14:paraId="24EFAC45" w14:textId="4566C262" w:rsidR="00823810" w:rsidRPr="004B77AE" w:rsidRDefault="00823810" w:rsidP="00092477">
            <w:pPr>
              <w:pStyle w:val="TableText"/>
              <w:rPr>
                <w:rFonts w:cs="Arial"/>
              </w:rPr>
            </w:pPr>
            <w:r w:rsidRPr="004B77AE">
              <w:rPr>
                <w:rFonts w:cs="Arial"/>
              </w:rPr>
              <w:t>Chief People Officer</w:t>
            </w:r>
          </w:p>
        </w:tc>
      </w:tr>
      <w:tr w:rsidR="00823810" w:rsidRPr="004B77AE" w14:paraId="78655683" w14:textId="77777777" w:rsidTr="00163CD1">
        <w:trPr>
          <w:cantSplit/>
          <w:trHeight w:val="1247"/>
        </w:trPr>
        <w:tc>
          <w:tcPr>
            <w:tcW w:w="1264" w:type="dxa"/>
            <w:shd w:val="clear" w:color="auto" w:fill="BDDEFF" w:themeFill="accent1" w:themeFillTint="33"/>
            <w:textDirection w:val="btLr"/>
          </w:tcPr>
          <w:p w14:paraId="55EFC554" w14:textId="77777777" w:rsidR="00163CD1" w:rsidRPr="004B77AE" w:rsidRDefault="00163CD1" w:rsidP="00163CD1">
            <w:pPr>
              <w:ind w:left="113" w:right="113"/>
              <w:jc w:val="center"/>
              <w:rPr>
                <w:rFonts w:cs="Arial"/>
                <w:b/>
                <w:sz w:val="32"/>
                <w:szCs w:val="32"/>
              </w:rPr>
            </w:pPr>
            <w:r w:rsidRPr="004B77AE">
              <w:rPr>
                <w:rFonts w:cs="Arial"/>
                <w:b/>
                <w:sz w:val="32"/>
                <w:szCs w:val="32"/>
              </w:rPr>
              <w:lastRenderedPageBreak/>
              <w:t xml:space="preserve">Domain 2: </w:t>
            </w:r>
          </w:p>
          <w:p w14:paraId="6A71FEA8" w14:textId="77777777" w:rsidR="00163CD1" w:rsidRPr="004B77AE" w:rsidRDefault="00163CD1" w:rsidP="00163CD1">
            <w:pPr>
              <w:ind w:left="113" w:right="113"/>
              <w:jc w:val="center"/>
              <w:rPr>
                <w:rFonts w:cs="Arial"/>
                <w:b/>
                <w:sz w:val="32"/>
                <w:szCs w:val="32"/>
              </w:rPr>
            </w:pPr>
            <w:r w:rsidRPr="004B77AE">
              <w:rPr>
                <w:rFonts w:cs="Arial"/>
                <w:b/>
                <w:sz w:val="32"/>
                <w:szCs w:val="32"/>
              </w:rPr>
              <w:t>Workforce health and well-being</w:t>
            </w:r>
          </w:p>
          <w:p w14:paraId="286AA307" w14:textId="77777777" w:rsidR="00823810" w:rsidRPr="004B77AE" w:rsidRDefault="00823810" w:rsidP="00163CD1">
            <w:pPr>
              <w:ind w:left="113" w:right="113"/>
              <w:rPr>
                <w:rFonts w:cs="Arial"/>
              </w:rPr>
            </w:pPr>
          </w:p>
        </w:tc>
        <w:tc>
          <w:tcPr>
            <w:tcW w:w="3782" w:type="dxa"/>
            <w:gridSpan w:val="2"/>
            <w:shd w:val="clear" w:color="auto" w:fill="BDDEFF" w:themeFill="accent1" w:themeFillTint="33"/>
          </w:tcPr>
          <w:p w14:paraId="1DFCFD77" w14:textId="436DDB47" w:rsidR="00823810" w:rsidRPr="004B77AE" w:rsidRDefault="00823810" w:rsidP="00092477">
            <w:pPr>
              <w:rPr>
                <w:rFonts w:cs="Arial"/>
              </w:rPr>
            </w:pPr>
            <w:r w:rsidRPr="004B77AE">
              <w:rPr>
                <w:rFonts w:cs="Arial"/>
              </w:rPr>
              <w:t xml:space="preserve">2B: When at work, staff are free from abuse, harassment, bullying, and physical violence from any source </w:t>
            </w:r>
          </w:p>
        </w:tc>
        <w:tc>
          <w:tcPr>
            <w:tcW w:w="6734" w:type="dxa"/>
            <w:gridSpan w:val="2"/>
          </w:tcPr>
          <w:p w14:paraId="358706B7" w14:textId="66852325" w:rsidR="00281A1A" w:rsidRPr="004A3123" w:rsidRDefault="00281A1A" w:rsidP="00092477">
            <w:pPr>
              <w:pStyle w:val="TableText"/>
              <w:rPr>
                <w:rFonts w:cs="Arial"/>
              </w:rPr>
            </w:pPr>
            <w:r w:rsidRPr="004A3123">
              <w:rPr>
                <w:rFonts w:cs="Arial"/>
              </w:rPr>
              <w:t xml:space="preserve">The ICB monitors and develops action plans to address the staff survey results each year. </w:t>
            </w:r>
          </w:p>
          <w:p w14:paraId="2597E22B" w14:textId="77777777" w:rsidR="00281A1A" w:rsidRPr="004A3123" w:rsidRDefault="00281A1A" w:rsidP="00092477">
            <w:pPr>
              <w:pStyle w:val="TableText"/>
              <w:rPr>
                <w:rFonts w:cs="Arial"/>
              </w:rPr>
            </w:pPr>
          </w:p>
          <w:p w14:paraId="6D73FBE5" w14:textId="6A492100" w:rsidR="00281A1A" w:rsidRPr="004A3123" w:rsidRDefault="00281A1A" w:rsidP="00092477">
            <w:pPr>
              <w:pStyle w:val="TableText"/>
              <w:rPr>
                <w:rFonts w:cs="Arial"/>
              </w:rPr>
            </w:pPr>
            <w:r w:rsidRPr="004A3123">
              <w:rPr>
                <w:rFonts w:cs="Arial"/>
              </w:rPr>
              <w:t xml:space="preserve">We use the staff survey as the primary data source to monitor staff experience, with pulse </w:t>
            </w:r>
            <w:proofErr w:type="gramStart"/>
            <w:r w:rsidRPr="004A3123">
              <w:rPr>
                <w:rFonts w:cs="Arial"/>
              </w:rPr>
              <w:t>survey’s</w:t>
            </w:r>
            <w:proofErr w:type="gramEnd"/>
            <w:r w:rsidRPr="004A3123">
              <w:rPr>
                <w:rFonts w:cs="Arial"/>
              </w:rPr>
              <w:t xml:space="preserve"> th</w:t>
            </w:r>
            <w:r w:rsidR="004C63A9">
              <w:rPr>
                <w:rFonts w:cs="Arial"/>
              </w:rPr>
              <w:t>r</w:t>
            </w:r>
            <w:r w:rsidRPr="004A3123">
              <w:rPr>
                <w:rFonts w:cs="Arial"/>
              </w:rPr>
              <w:t xml:space="preserve">oughout the year. </w:t>
            </w:r>
          </w:p>
          <w:p w14:paraId="138A403E" w14:textId="77777777" w:rsidR="00281A1A" w:rsidRPr="004A3123" w:rsidRDefault="00281A1A" w:rsidP="00092477">
            <w:pPr>
              <w:pStyle w:val="TableText"/>
              <w:rPr>
                <w:rFonts w:cs="Arial"/>
              </w:rPr>
            </w:pPr>
          </w:p>
          <w:p w14:paraId="6984DB5D" w14:textId="69440A4D" w:rsidR="00281A1A" w:rsidRPr="004A3123" w:rsidRDefault="00281A1A" w:rsidP="00092477">
            <w:pPr>
              <w:pStyle w:val="TableText"/>
              <w:rPr>
                <w:rFonts w:cs="Arial"/>
              </w:rPr>
            </w:pPr>
            <w:r w:rsidRPr="004A3123">
              <w:rPr>
                <w:rFonts w:cs="Arial"/>
              </w:rPr>
              <w:t xml:space="preserve">In addition, monitoring case load and the type of cases that are being managed and/or investigated provides an insight into the culture of teams and the wider organisation and identify any potential issues. </w:t>
            </w:r>
          </w:p>
          <w:p w14:paraId="5C79EAF3" w14:textId="77777777" w:rsidR="00281A1A" w:rsidRPr="004A3123" w:rsidRDefault="00281A1A" w:rsidP="00092477">
            <w:pPr>
              <w:pStyle w:val="TableText"/>
              <w:rPr>
                <w:rFonts w:cs="Arial"/>
              </w:rPr>
            </w:pPr>
          </w:p>
          <w:p w14:paraId="626B7646" w14:textId="2C2DE15C" w:rsidR="00281A1A" w:rsidRPr="004A3123" w:rsidRDefault="00281A1A" w:rsidP="00092477">
            <w:pPr>
              <w:pStyle w:val="TableText"/>
              <w:rPr>
                <w:rFonts w:cs="Arial"/>
              </w:rPr>
            </w:pPr>
            <w:r w:rsidRPr="004A3123">
              <w:rPr>
                <w:rFonts w:cs="Arial"/>
              </w:rPr>
              <w:t xml:space="preserve">There are multiple ways for staff to raise concerns within the organisation. The ICB has </w:t>
            </w:r>
            <w:r w:rsidR="006B5423" w:rsidRPr="004A3123">
              <w:rPr>
                <w:rFonts w:cs="Arial"/>
              </w:rPr>
              <w:t xml:space="preserve">an Acceptable Behaviours, </w:t>
            </w:r>
            <w:r w:rsidR="006B5423" w:rsidRPr="004A3123">
              <w:rPr>
                <w:rFonts w:cs="Arial"/>
              </w:rPr>
              <w:lastRenderedPageBreak/>
              <w:t xml:space="preserve">Whistleblowing and a Grievance Policies which allow staff to raise concerns, both informally and formally. </w:t>
            </w:r>
          </w:p>
          <w:p w14:paraId="6571932F" w14:textId="77777777" w:rsidR="006B5423" w:rsidRPr="004A3123" w:rsidRDefault="006B5423" w:rsidP="00092477">
            <w:pPr>
              <w:pStyle w:val="TableText"/>
              <w:rPr>
                <w:rFonts w:cs="Arial"/>
              </w:rPr>
            </w:pPr>
          </w:p>
          <w:p w14:paraId="0949253B" w14:textId="19247B40" w:rsidR="006B5423" w:rsidRPr="004A3123" w:rsidRDefault="006B5423" w:rsidP="00092477">
            <w:pPr>
              <w:pStyle w:val="TableText"/>
              <w:rPr>
                <w:rFonts w:cs="Arial"/>
              </w:rPr>
            </w:pPr>
            <w:r w:rsidRPr="004A3123">
              <w:rPr>
                <w:rFonts w:cs="Arial"/>
              </w:rPr>
              <w:t>Staff can also raise concerns directly with our Freedom to Speak Up champion and via our Mental Health First Aiders.</w:t>
            </w:r>
          </w:p>
          <w:p w14:paraId="69B53963" w14:textId="77777777" w:rsidR="006B5423" w:rsidRPr="004A3123" w:rsidRDefault="006B5423" w:rsidP="00092477">
            <w:pPr>
              <w:pStyle w:val="TableText"/>
              <w:rPr>
                <w:rFonts w:cs="Arial"/>
              </w:rPr>
            </w:pPr>
          </w:p>
          <w:p w14:paraId="5BC25DE4" w14:textId="27DD50A7" w:rsidR="006B5423" w:rsidRPr="00281A1A" w:rsidRDefault="006B5423" w:rsidP="00092477">
            <w:pPr>
              <w:pStyle w:val="TableText"/>
              <w:rPr>
                <w:rFonts w:cs="Arial"/>
              </w:rPr>
            </w:pPr>
            <w:r w:rsidRPr="004A3123">
              <w:rPr>
                <w:rFonts w:cs="Arial"/>
              </w:rPr>
              <w:t xml:space="preserve">Staff can discuss concerns confidentially with any of our Staff Network Chairs, Head of </w:t>
            </w:r>
            <w:proofErr w:type="gramStart"/>
            <w:r w:rsidRPr="004A3123">
              <w:rPr>
                <w:rFonts w:cs="Arial"/>
              </w:rPr>
              <w:t>EDI</w:t>
            </w:r>
            <w:proofErr w:type="gramEnd"/>
            <w:r w:rsidRPr="004A3123">
              <w:rPr>
                <w:rFonts w:cs="Arial"/>
              </w:rPr>
              <w:t xml:space="preserve"> and our HR Colleagues.</w:t>
            </w:r>
          </w:p>
          <w:p w14:paraId="1CA951E2" w14:textId="77777777" w:rsidR="00281A1A" w:rsidRDefault="00281A1A" w:rsidP="00092477">
            <w:pPr>
              <w:pStyle w:val="TableText"/>
              <w:rPr>
                <w:rFonts w:cs="Arial"/>
                <w:b/>
                <w:bCs/>
              </w:rPr>
            </w:pPr>
          </w:p>
          <w:p w14:paraId="4024B257" w14:textId="1E762570" w:rsidR="00823810" w:rsidRPr="004B77AE" w:rsidRDefault="00823810" w:rsidP="00092477">
            <w:pPr>
              <w:pStyle w:val="TableText"/>
              <w:rPr>
                <w:rFonts w:cs="Arial"/>
              </w:rPr>
            </w:pPr>
            <w:r w:rsidRPr="004B77AE">
              <w:rPr>
                <w:rFonts w:cs="Arial"/>
                <w:b/>
                <w:bCs/>
              </w:rPr>
              <w:t>Staff Survey Results (202</w:t>
            </w:r>
            <w:r w:rsidR="00226B28" w:rsidRPr="004B77AE">
              <w:rPr>
                <w:rFonts w:cs="Arial"/>
                <w:b/>
                <w:bCs/>
              </w:rPr>
              <w:t>3</w:t>
            </w:r>
            <w:r w:rsidRPr="004B77AE">
              <w:rPr>
                <w:rFonts w:cs="Arial"/>
                <w:b/>
                <w:bCs/>
              </w:rPr>
              <w:t xml:space="preserve"> survey)</w:t>
            </w:r>
          </w:p>
          <w:p w14:paraId="3DE9C2A3" w14:textId="77777777" w:rsidR="00C26CEB" w:rsidRPr="004B77AE" w:rsidRDefault="00C26CEB" w:rsidP="00092477">
            <w:pPr>
              <w:pStyle w:val="TableText"/>
              <w:rPr>
                <w:rFonts w:cs="Arial"/>
              </w:rPr>
            </w:pPr>
            <w:r w:rsidRPr="004B77AE">
              <w:rPr>
                <w:rFonts w:cs="Arial"/>
                <w:b/>
                <w:bCs/>
              </w:rPr>
              <w:t>Staff Survey</w:t>
            </w:r>
          </w:p>
          <w:p w14:paraId="4BDCCF37" w14:textId="77777777" w:rsidR="00C26CEB" w:rsidRPr="004B77AE" w:rsidRDefault="00C26CEB" w:rsidP="00092477">
            <w:pPr>
              <w:pStyle w:val="TableText"/>
              <w:rPr>
                <w:rFonts w:cs="Arial"/>
              </w:rPr>
            </w:pPr>
            <w:r w:rsidRPr="004B77AE">
              <w:rPr>
                <w:rFonts w:cs="Arial"/>
              </w:rPr>
              <w:t>Question 14c, regarding experiencing harassment, bullying, or abuse from another colleagues, saw a negative trend. In 2023, 11.7% said they had experienced one of these in the last 12 months, compared to 7.8% in 2022.</w:t>
            </w:r>
          </w:p>
          <w:p w14:paraId="71064F50" w14:textId="77777777" w:rsidR="00C26CEB" w:rsidRPr="004B77AE" w:rsidRDefault="00C26CEB" w:rsidP="00092477">
            <w:pPr>
              <w:pStyle w:val="TableText"/>
              <w:rPr>
                <w:rFonts w:cs="Arial"/>
              </w:rPr>
            </w:pPr>
          </w:p>
          <w:p w14:paraId="1A1DA434" w14:textId="77777777" w:rsidR="00C26CEB" w:rsidRPr="004B77AE" w:rsidRDefault="00C26CEB" w:rsidP="00092477">
            <w:pPr>
              <w:pStyle w:val="TableText"/>
              <w:rPr>
                <w:rFonts w:cs="Arial"/>
              </w:rPr>
            </w:pPr>
            <w:r w:rsidRPr="004B77AE">
              <w:rPr>
                <w:rFonts w:cs="Arial"/>
              </w:rPr>
              <w:t>Similarly, question 14b about experiencing bullying from line managers saw a negative trend. In 2023, 8% of people said they had experienced this, compared to 6.4% in 2022.</w:t>
            </w:r>
          </w:p>
          <w:p w14:paraId="7E312758" w14:textId="77777777" w:rsidR="00C26CEB" w:rsidRPr="004B77AE" w:rsidRDefault="00C26CEB" w:rsidP="00092477">
            <w:pPr>
              <w:pStyle w:val="TableText"/>
              <w:rPr>
                <w:rFonts w:cs="Arial"/>
              </w:rPr>
            </w:pPr>
          </w:p>
          <w:p w14:paraId="3EBF4D9C" w14:textId="77777777" w:rsidR="00C26CEB" w:rsidRPr="004B77AE" w:rsidRDefault="00C26CEB" w:rsidP="00092477">
            <w:pPr>
              <w:pStyle w:val="TableText"/>
              <w:rPr>
                <w:rFonts w:cs="Arial"/>
              </w:rPr>
            </w:pPr>
            <w:r w:rsidRPr="004B77AE">
              <w:rPr>
                <w:rFonts w:cs="Arial"/>
              </w:rPr>
              <w:t>Question 16b relating to experiencing discrimination from a manager or colleagues saw a slight positive trend. In 2023, 4.2% of people said they had experienced this, compared with 4.6% in 2022. In relation to what the discrimination related to, Disability and Age both saw a significant drop in discrimination. However, Race, Religion, and Gender all saw significant increases in discrimination.</w:t>
            </w:r>
          </w:p>
          <w:p w14:paraId="41E8F697" w14:textId="77777777" w:rsidR="00823810" w:rsidRPr="004B77AE" w:rsidRDefault="00823810" w:rsidP="00092477">
            <w:pPr>
              <w:pStyle w:val="TableText"/>
              <w:rPr>
                <w:rFonts w:cs="Arial"/>
              </w:rPr>
            </w:pPr>
          </w:p>
          <w:p w14:paraId="08F54E8B" w14:textId="77777777" w:rsidR="00823810" w:rsidRPr="006B5423" w:rsidRDefault="00823810" w:rsidP="00092477">
            <w:pPr>
              <w:pStyle w:val="TableText"/>
              <w:rPr>
                <w:rFonts w:cs="Arial"/>
              </w:rPr>
            </w:pPr>
            <w:r w:rsidRPr="006B5423">
              <w:rPr>
                <w:rFonts w:cs="Arial"/>
                <w:b/>
                <w:bCs/>
              </w:rPr>
              <w:t>Conduct Investigations</w:t>
            </w:r>
          </w:p>
          <w:p w14:paraId="488AFFDB" w14:textId="2C5DC499" w:rsidR="00823810" w:rsidRDefault="00226B28" w:rsidP="00092477">
            <w:pPr>
              <w:pStyle w:val="TableText"/>
              <w:rPr>
                <w:rFonts w:cs="Arial"/>
              </w:rPr>
            </w:pPr>
            <w:r w:rsidRPr="006B5423">
              <w:rPr>
                <w:rFonts w:cs="Arial"/>
              </w:rPr>
              <w:t xml:space="preserve">The ICB has undertaken no conduct investigations </w:t>
            </w:r>
            <w:r w:rsidR="00AD4715" w:rsidRPr="006B5423">
              <w:rPr>
                <w:rFonts w:cs="Arial"/>
              </w:rPr>
              <w:t>in Quarter 1 of 2023/2024</w:t>
            </w:r>
          </w:p>
          <w:p w14:paraId="39E4C4E1" w14:textId="77777777" w:rsidR="00281A1A" w:rsidRDefault="00281A1A" w:rsidP="00092477">
            <w:pPr>
              <w:pStyle w:val="TableText"/>
              <w:rPr>
                <w:rFonts w:cs="Arial"/>
              </w:rPr>
            </w:pPr>
          </w:p>
          <w:p w14:paraId="10F06617" w14:textId="0716A177" w:rsidR="00281A1A" w:rsidRPr="004A3123" w:rsidRDefault="00281A1A" w:rsidP="00092477">
            <w:pPr>
              <w:pStyle w:val="TableText"/>
              <w:rPr>
                <w:rFonts w:cs="Arial"/>
                <w:b/>
                <w:bCs/>
              </w:rPr>
            </w:pPr>
            <w:r w:rsidRPr="004A3123">
              <w:rPr>
                <w:rFonts w:cs="Arial"/>
                <w:b/>
                <w:bCs/>
              </w:rPr>
              <w:t>Grievance Investigations</w:t>
            </w:r>
          </w:p>
          <w:p w14:paraId="0989B190" w14:textId="2320F24D" w:rsidR="00823810" w:rsidRPr="00281A1A" w:rsidRDefault="00281A1A" w:rsidP="00092477">
            <w:pPr>
              <w:pStyle w:val="TableText"/>
              <w:rPr>
                <w:rFonts w:cs="Arial"/>
              </w:rPr>
            </w:pPr>
            <w:r w:rsidRPr="004A3123">
              <w:rPr>
                <w:rFonts w:cs="Arial"/>
              </w:rPr>
              <w:lastRenderedPageBreak/>
              <w:t>The ICB had one open grievance investigation in Quarter 1 of 2023/24. This was resolved and appropriate actions taken later in the year.</w:t>
            </w:r>
            <w:r>
              <w:rPr>
                <w:rFonts w:cs="Arial"/>
              </w:rPr>
              <w:t xml:space="preserve"> </w:t>
            </w:r>
          </w:p>
          <w:p w14:paraId="6CF4E261" w14:textId="77777777" w:rsidR="00281A1A" w:rsidRPr="004B77AE" w:rsidRDefault="00281A1A" w:rsidP="00092477">
            <w:pPr>
              <w:pStyle w:val="TableText"/>
              <w:rPr>
                <w:rFonts w:cs="Arial"/>
              </w:rPr>
            </w:pPr>
          </w:p>
          <w:p w14:paraId="210D8C43" w14:textId="77777777" w:rsidR="00823810" w:rsidRPr="004B77AE" w:rsidRDefault="00823810" w:rsidP="00092477">
            <w:pPr>
              <w:pStyle w:val="TableText"/>
              <w:rPr>
                <w:rFonts w:cs="Arial"/>
              </w:rPr>
            </w:pPr>
            <w:r w:rsidRPr="004B77AE">
              <w:rPr>
                <w:rFonts w:cs="Arial"/>
                <w:b/>
                <w:bCs/>
              </w:rPr>
              <w:t>Exit Interviews</w:t>
            </w:r>
          </w:p>
          <w:p w14:paraId="0D94815F" w14:textId="6D9003AF" w:rsidR="00823810" w:rsidRPr="004B77AE" w:rsidRDefault="00AD4715" w:rsidP="00092477">
            <w:pPr>
              <w:pStyle w:val="TableText"/>
              <w:rPr>
                <w:rFonts w:cs="Arial"/>
              </w:rPr>
            </w:pPr>
            <w:r w:rsidRPr="004B77AE">
              <w:rPr>
                <w:rFonts w:cs="Arial"/>
              </w:rPr>
              <w:t>Exit interviews are conducted within the ICB. However, th</w:t>
            </w:r>
            <w:r w:rsidR="0086231E" w:rsidRPr="004B77AE">
              <w:rPr>
                <w:rFonts w:cs="Arial"/>
              </w:rPr>
              <w:t>is is voluntary and not all leavers complete them.</w:t>
            </w:r>
            <w:r w:rsidR="006428EC" w:rsidRPr="004B77AE">
              <w:rPr>
                <w:rFonts w:cs="Arial"/>
              </w:rPr>
              <w:t xml:space="preserve"> The information we collect is not currently used or analysed to understand themes and trends.</w:t>
            </w:r>
          </w:p>
        </w:tc>
        <w:tc>
          <w:tcPr>
            <w:tcW w:w="1274" w:type="dxa"/>
            <w:shd w:val="clear" w:color="auto" w:fill="B3E1F5" w:themeFill="accent4" w:themeFillTint="66"/>
            <w:vAlign w:val="center"/>
          </w:tcPr>
          <w:p w14:paraId="165ED93F" w14:textId="77777777" w:rsidR="00823810" w:rsidRPr="004B77AE" w:rsidRDefault="00823810" w:rsidP="00092477">
            <w:pPr>
              <w:pStyle w:val="TableText"/>
              <w:jc w:val="center"/>
              <w:rPr>
                <w:rFonts w:cs="Arial"/>
                <w:b/>
                <w:bCs/>
                <w:sz w:val="36"/>
                <w:szCs w:val="36"/>
              </w:rPr>
            </w:pPr>
            <w:r w:rsidRPr="004B77AE">
              <w:rPr>
                <w:rFonts w:cs="Arial"/>
                <w:b/>
                <w:bCs/>
                <w:sz w:val="36"/>
                <w:szCs w:val="36"/>
              </w:rPr>
              <w:lastRenderedPageBreak/>
              <w:t>1</w:t>
            </w:r>
          </w:p>
          <w:p w14:paraId="1533C366" w14:textId="4FC1055A" w:rsidR="00823810" w:rsidRPr="004B77AE" w:rsidRDefault="00823810" w:rsidP="00092477">
            <w:pPr>
              <w:pStyle w:val="TableText"/>
              <w:jc w:val="center"/>
              <w:rPr>
                <w:rFonts w:cs="Arial"/>
                <w:b/>
                <w:bCs/>
                <w:sz w:val="28"/>
                <w:szCs w:val="28"/>
              </w:rPr>
            </w:pPr>
            <w:r w:rsidRPr="004B77AE">
              <w:rPr>
                <w:rFonts w:cs="Arial"/>
                <w:b/>
                <w:bCs/>
                <w:sz w:val="20"/>
                <w:szCs w:val="20"/>
              </w:rPr>
              <w:t>Developing</w:t>
            </w:r>
          </w:p>
        </w:tc>
        <w:tc>
          <w:tcPr>
            <w:tcW w:w="2392" w:type="dxa"/>
          </w:tcPr>
          <w:p w14:paraId="182A46F7" w14:textId="77777777" w:rsidR="00823810" w:rsidRPr="004B77AE" w:rsidRDefault="00823810" w:rsidP="00092477">
            <w:pPr>
              <w:pStyle w:val="TableText"/>
              <w:rPr>
                <w:rFonts w:cs="Arial"/>
              </w:rPr>
            </w:pPr>
            <w:r w:rsidRPr="004B77AE">
              <w:rPr>
                <w:rFonts w:cs="Arial"/>
                <w:b/>
                <w:bCs/>
              </w:rPr>
              <w:t>Gemma Waring</w:t>
            </w:r>
          </w:p>
          <w:p w14:paraId="28F1322C" w14:textId="77777777" w:rsidR="00823810" w:rsidRPr="004B77AE" w:rsidRDefault="00823810" w:rsidP="00092477">
            <w:pPr>
              <w:pStyle w:val="TableText"/>
              <w:rPr>
                <w:rFonts w:cs="Arial"/>
              </w:rPr>
            </w:pPr>
            <w:r w:rsidRPr="004B77AE">
              <w:rPr>
                <w:rFonts w:cs="Arial"/>
              </w:rPr>
              <w:t>Head of HR and OD</w:t>
            </w:r>
          </w:p>
          <w:p w14:paraId="481E7D8D" w14:textId="77777777" w:rsidR="00823810" w:rsidRPr="004B77AE" w:rsidRDefault="00823810" w:rsidP="00092477">
            <w:pPr>
              <w:pStyle w:val="TableText"/>
              <w:rPr>
                <w:rFonts w:cs="Arial"/>
              </w:rPr>
            </w:pPr>
          </w:p>
          <w:p w14:paraId="54C37392" w14:textId="2E99E5E1" w:rsidR="00823810" w:rsidRPr="004B77AE" w:rsidRDefault="00823810" w:rsidP="00092477">
            <w:pPr>
              <w:pStyle w:val="TableText"/>
              <w:rPr>
                <w:rFonts w:cs="Arial"/>
                <w:b/>
                <w:bCs/>
              </w:rPr>
            </w:pPr>
            <w:r w:rsidRPr="004B77AE">
              <w:rPr>
                <w:rFonts w:cs="Arial"/>
                <w:b/>
                <w:bCs/>
              </w:rPr>
              <w:t xml:space="preserve">Robert </w:t>
            </w:r>
            <w:proofErr w:type="spellStart"/>
            <w:r w:rsidRPr="004B77AE">
              <w:rPr>
                <w:rFonts w:cs="Arial"/>
                <w:b/>
                <w:bCs/>
              </w:rPr>
              <w:t>Tredwell</w:t>
            </w:r>
            <w:proofErr w:type="spellEnd"/>
          </w:p>
          <w:p w14:paraId="5B0180BB" w14:textId="77777777" w:rsidR="00823810" w:rsidRPr="004B77AE" w:rsidRDefault="00823810" w:rsidP="00092477">
            <w:pPr>
              <w:pStyle w:val="TableText"/>
              <w:rPr>
                <w:rFonts w:cs="Arial"/>
              </w:rPr>
            </w:pPr>
            <w:r w:rsidRPr="004B77AE">
              <w:rPr>
                <w:rFonts w:cs="Arial"/>
              </w:rPr>
              <w:t>Senior OD Business Partner</w:t>
            </w:r>
          </w:p>
          <w:p w14:paraId="06CA198B" w14:textId="77777777" w:rsidR="00823810" w:rsidRPr="004B77AE" w:rsidRDefault="00823810" w:rsidP="00092477">
            <w:pPr>
              <w:pStyle w:val="TableText"/>
              <w:rPr>
                <w:rFonts w:cs="Arial"/>
              </w:rPr>
            </w:pPr>
          </w:p>
          <w:p w14:paraId="7E3BAED7" w14:textId="77777777" w:rsidR="00823810" w:rsidRPr="004B77AE" w:rsidRDefault="00823810" w:rsidP="00092477">
            <w:pPr>
              <w:pStyle w:val="TableText"/>
              <w:rPr>
                <w:rFonts w:cs="Arial"/>
              </w:rPr>
            </w:pPr>
            <w:r w:rsidRPr="004B77AE">
              <w:rPr>
                <w:rFonts w:cs="Arial"/>
                <w:b/>
                <w:bCs/>
              </w:rPr>
              <w:t>Philippa Hunt</w:t>
            </w:r>
          </w:p>
          <w:p w14:paraId="7DDBE822" w14:textId="52AF5834" w:rsidR="00823810" w:rsidRPr="004B77AE" w:rsidRDefault="00823810" w:rsidP="00092477">
            <w:pPr>
              <w:pStyle w:val="TableText"/>
              <w:rPr>
                <w:rFonts w:cs="Arial"/>
              </w:rPr>
            </w:pPr>
            <w:r w:rsidRPr="004B77AE">
              <w:rPr>
                <w:rFonts w:cs="Arial"/>
              </w:rPr>
              <w:t>Chief People Officer</w:t>
            </w:r>
          </w:p>
        </w:tc>
      </w:tr>
      <w:tr w:rsidR="00823810" w:rsidRPr="004B77AE" w14:paraId="001D5BB2" w14:textId="77777777" w:rsidTr="00163CD1">
        <w:trPr>
          <w:cantSplit/>
          <w:trHeight w:val="1247"/>
        </w:trPr>
        <w:tc>
          <w:tcPr>
            <w:tcW w:w="1264" w:type="dxa"/>
            <w:shd w:val="clear" w:color="auto" w:fill="BDDEFF" w:themeFill="accent1" w:themeFillTint="33"/>
            <w:textDirection w:val="btLr"/>
          </w:tcPr>
          <w:p w14:paraId="229A0B85" w14:textId="77777777" w:rsidR="00163CD1" w:rsidRPr="004B77AE" w:rsidRDefault="00163CD1" w:rsidP="00163CD1">
            <w:pPr>
              <w:ind w:left="113" w:right="113"/>
              <w:jc w:val="center"/>
              <w:rPr>
                <w:rFonts w:cs="Arial"/>
                <w:b/>
                <w:sz w:val="32"/>
                <w:szCs w:val="32"/>
              </w:rPr>
            </w:pPr>
            <w:r w:rsidRPr="004B77AE">
              <w:rPr>
                <w:rFonts w:cs="Arial"/>
                <w:b/>
                <w:sz w:val="32"/>
                <w:szCs w:val="32"/>
              </w:rPr>
              <w:lastRenderedPageBreak/>
              <w:t xml:space="preserve">Domain 2: </w:t>
            </w:r>
          </w:p>
          <w:p w14:paraId="0AB8BA92" w14:textId="77777777" w:rsidR="00163CD1" w:rsidRPr="004B77AE" w:rsidRDefault="00163CD1" w:rsidP="00163CD1">
            <w:pPr>
              <w:ind w:left="113" w:right="113"/>
              <w:jc w:val="center"/>
              <w:rPr>
                <w:rFonts w:cs="Arial"/>
                <w:b/>
                <w:sz w:val="32"/>
                <w:szCs w:val="32"/>
              </w:rPr>
            </w:pPr>
            <w:r w:rsidRPr="004B77AE">
              <w:rPr>
                <w:rFonts w:cs="Arial"/>
                <w:b/>
                <w:sz w:val="32"/>
                <w:szCs w:val="32"/>
              </w:rPr>
              <w:t>Workforce health and well-being</w:t>
            </w:r>
          </w:p>
          <w:p w14:paraId="62B4CAA9" w14:textId="77777777" w:rsidR="00823810" w:rsidRPr="004B77AE" w:rsidRDefault="00823810" w:rsidP="00163CD1">
            <w:pPr>
              <w:ind w:left="113" w:right="113"/>
              <w:rPr>
                <w:rFonts w:cs="Arial"/>
              </w:rPr>
            </w:pPr>
          </w:p>
        </w:tc>
        <w:tc>
          <w:tcPr>
            <w:tcW w:w="3782" w:type="dxa"/>
            <w:gridSpan w:val="2"/>
            <w:shd w:val="clear" w:color="auto" w:fill="BDDEFF" w:themeFill="accent1" w:themeFillTint="33"/>
          </w:tcPr>
          <w:p w14:paraId="4CCFA4F6" w14:textId="1C158F0D" w:rsidR="00823810" w:rsidRPr="004B77AE" w:rsidRDefault="00823810" w:rsidP="00092477">
            <w:pPr>
              <w:rPr>
                <w:rFonts w:cs="Arial"/>
              </w:rPr>
            </w:pPr>
            <w:r w:rsidRPr="004B77AE">
              <w:rPr>
                <w:rFonts w:cs="Arial"/>
              </w:rPr>
              <w:t>2C: Staff have access to i</w:t>
            </w:r>
            <w:r w:rsidRPr="004B77AE">
              <w:rPr>
                <w:rFonts w:cs="Arial"/>
                <w:bCs/>
              </w:rPr>
              <w:t xml:space="preserve">ndependent </w:t>
            </w:r>
            <w:r w:rsidRPr="004B77AE">
              <w:rPr>
                <w:rFonts w:cs="Arial"/>
              </w:rPr>
              <w:t>support and advice when suffering from stress, abuse, bullying, harassment, and physical violence from any source</w:t>
            </w:r>
          </w:p>
        </w:tc>
        <w:tc>
          <w:tcPr>
            <w:tcW w:w="6734" w:type="dxa"/>
            <w:gridSpan w:val="2"/>
          </w:tcPr>
          <w:p w14:paraId="18EEA723" w14:textId="1661D043" w:rsidR="006B5423" w:rsidRPr="004A3123" w:rsidRDefault="006B5423" w:rsidP="00092477">
            <w:pPr>
              <w:pStyle w:val="TableText"/>
              <w:rPr>
                <w:rFonts w:cs="Arial"/>
              </w:rPr>
            </w:pPr>
            <w:r w:rsidRPr="004A3123">
              <w:rPr>
                <w:rFonts w:cs="Arial"/>
              </w:rPr>
              <w:t>The ICB aims to support staff in multiple ways by providing different avenues to raise to concerns and speak confidentially. These include but are not limited to:</w:t>
            </w:r>
          </w:p>
          <w:p w14:paraId="608311C8" w14:textId="77777777" w:rsidR="006B5423" w:rsidRPr="004A3123" w:rsidRDefault="006B5423" w:rsidP="00092477">
            <w:pPr>
              <w:pStyle w:val="TableText"/>
              <w:rPr>
                <w:rFonts w:cs="Arial"/>
              </w:rPr>
            </w:pPr>
          </w:p>
          <w:p w14:paraId="65C8050B" w14:textId="05E8AEEA" w:rsidR="00823810" w:rsidRPr="004A3123" w:rsidRDefault="006B5423" w:rsidP="00441BD5">
            <w:pPr>
              <w:pStyle w:val="TableText"/>
              <w:numPr>
                <w:ilvl w:val="0"/>
                <w:numId w:val="8"/>
              </w:numPr>
              <w:rPr>
                <w:rFonts w:cs="Arial"/>
              </w:rPr>
            </w:pPr>
            <w:r w:rsidRPr="004A3123">
              <w:rPr>
                <w:rFonts w:cs="Arial"/>
              </w:rPr>
              <w:t xml:space="preserve">Staff </w:t>
            </w:r>
            <w:r w:rsidR="00823810" w:rsidRPr="004A3123">
              <w:rPr>
                <w:rFonts w:cs="Arial"/>
              </w:rPr>
              <w:t xml:space="preserve">Networks: Have two active networks, and one inactive </w:t>
            </w:r>
            <w:proofErr w:type="gramStart"/>
            <w:r w:rsidR="00823810" w:rsidRPr="004A3123">
              <w:rPr>
                <w:rFonts w:cs="Arial"/>
              </w:rPr>
              <w:t>network</w:t>
            </w:r>
            <w:proofErr w:type="gramEnd"/>
          </w:p>
          <w:p w14:paraId="5C242758" w14:textId="6B5E568B" w:rsidR="00823810" w:rsidRPr="004A3123" w:rsidRDefault="00823810" w:rsidP="00441BD5">
            <w:pPr>
              <w:pStyle w:val="TableText"/>
              <w:numPr>
                <w:ilvl w:val="0"/>
                <w:numId w:val="8"/>
              </w:numPr>
              <w:rPr>
                <w:rFonts w:cs="Arial"/>
              </w:rPr>
            </w:pPr>
            <w:r w:rsidRPr="004A3123">
              <w:rPr>
                <w:rFonts w:cs="Arial"/>
              </w:rPr>
              <w:t>FTSU: The ICB does not have an NGO Registered FTSU Guardian in post</w:t>
            </w:r>
            <w:r w:rsidR="006B5423" w:rsidRPr="004A3123">
              <w:rPr>
                <w:rFonts w:cs="Arial"/>
              </w:rPr>
              <w:t xml:space="preserve"> but have active recruitment in process. The ICB has one Non-Executive Director FTSU Champion </w:t>
            </w:r>
          </w:p>
          <w:p w14:paraId="020701BA" w14:textId="2487C59B" w:rsidR="00823810" w:rsidRPr="004B77AE" w:rsidRDefault="00823810" w:rsidP="00441BD5">
            <w:pPr>
              <w:pStyle w:val="TableText"/>
              <w:numPr>
                <w:ilvl w:val="0"/>
                <w:numId w:val="8"/>
              </w:numPr>
              <w:rPr>
                <w:rFonts w:cs="Arial"/>
              </w:rPr>
            </w:pPr>
            <w:r w:rsidRPr="004A3123">
              <w:rPr>
                <w:rFonts w:cs="Arial"/>
              </w:rPr>
              <w:t>EIAs: Completed for policy and procedure updates. A new</w:t>
            </w:r>
            <w:r w:rsidRPr="004B77AE">
              <w:rPr>
                <w:rFonts w:cs="Arial"/>
              </w:rPr>
              <w:t xml:space="preserve"> process was recently adopted, and full embedding is happening throughout Q4 2023/24 and Q1 2024/25.</w:t>
            </w:r>
          </w:p>
          <w:p w14:paraId="2850188F" w14:textId="77777777" w:rsidR="00823810" w:rsidRPr="004B77AE" w:rsidRDefault="00823810" w:rsidP="00441BD5">
            <w:pPr>
              <w:pStyle w:val="TableText"/>
              <w:numPr>
                <w:ilvl w:val="0"/>
                <w:numId w:val="8"/>
              </w:numPr>
              <w:rPr>
                <w:rFonts w:cs="Arial"/>
              </w:rPr>
            </w:pPr>
            <w:r w:rsidRPr="004B77AE">
              <w:rPr>
                <w:rFonts w:cs="Arial"/>
              </w:rPr>
              <w:t>Support outside line management: Some, but it is limited. SEG and EDI SOS are in place. Other support is variable (e.g., team meetings, etc.).</w:t>
            </w:r>
          </w:p>
          <w:p w14:paraId="47724A55" w14:textId="77777777" w:rsidR="00383FE4" w:rsidRPr="004B77AE" w:rsidRDefault="00383FE4" w:rsidP="00092477">
            <w:pPr>
              <w:pStyle w:val="TableText"/>
              <w:rPr>
                <w:rFonts w:cs="Arial"/>
              </w:rPr>
            </w:pPr>
          </w:p>
          <w:p w14:paraId="00A538D8" w14:textId="77777777" w:rsidR="00823810" w:rsidRPr="004B77AE" w:rsidRDefault="00823810" w:rsidP="00092477">
            <w:pPr>
              <w:pStyle w:val="TableText"/>
              <w:rPr>
                <w:rFonts w:cs="Arial"/>
              </w:rPr>
            </w:pPr>
            <w:r w:rsidRPr="004B77AE">
              <w:rPr>
                <w:rFonts w:cs="Arial"/>
                <w:b/>
                <w:bCs/>
              </w:rPr>
              <w:t>Equality Networks</w:t>
            </w:r>
          </w:p>
          <w:p w14:paraId="013178E3" w14:textId="2A6C55FD" w:rsidR="00823810" w:rsidRPr="004B77AE" w:rsidRDefault="00823810" w:rsidP="00092477">
            <w:pPr>
              <w:pStyle w:val="TableText"/>
              <w:rPr>
                <w:rFonts w:cs="Arial"/>
              </w:rPr>
            </w:pPr>
            <w:r w:rsidRPr="004B77AE">
              <w:rPr>
                <w:rFonts w:cs="Arial"/>
              </w:rPr>
              <w:t xml:space="preserve">The ICB has three staff equality networks: Disability </w:t>
            </w:r>
            <w:proofErr w:type="gramStart"/>
            <w:r w:rsidRPr="004B77AE">
              <w:rPr>
                <w:rFonts w:cs="Arial"/>
              </w:rPr>
              <w:t>And</w:t>
            </w:r>
            <w:proofErr w:type="gramEnd"/>
            <w:r w:rsidRPr="004B77AE">
              <w:rPr>
                <w:rFonts w:cs="Arial"/>
              </w:rPr>
              <w:t xml:space="preserve"> Wellbeing and Neurodiversity (DAWN) Network, LGBTQ+ Network, and Race And Culture Equality (RACE) Network.</w:t>
            </w:r>
          </w:p>
          <w:p w14:paraId="31C97A3F" w14:textId="77777777" w:rsidR="00823810" w:rsidRPr="004B77AE" w:rsidRDefault="00823810" w:rsidP="00092477">
            <w:pPr>
              <w:pStyle w:val="TableText"/>
              <w:rPr>
                <w:rFonts w:cs="Arial"/>
              </w:rPr>
            </w:pPr>
          </w:p>
          <w:p w14:paraId="6C2F2779" w14:textId="6069959C" w:rsidR="00823810" w:rsidRPr="004B77AE" w:rsidRDefault="00823810" w:rsidP="00092477">
            <w:pPr>
              <w:pStyle w:val="TableText"/>
              <w:rPr>
                <w:rFonts w:cs="Arial"/>
              </w:rPr>
            </w:pPr>
            <w:r w:rsidRPr="004B77AE">
              <w:rPr>
                <w:rFonts w:cs="Arial"/>
              </w:rPr>
              <w:t>DAWN and LGBTQ+ Networks are well embedded within the organisation and provide an advocacy and critical friendship role to staff and the organisation.</w:t>
            </w:r>
          </w:p>
          <w:p w14:paraId="642CB1B3" w14:textId="77777777" w:rsidR="00823810" w:rsidRPr="004B77AE" w:rsidRDefault="00823810" w:rsidP="00092477">
            <w:pPr>
              <w:pStyle w:val="TableText"/>
              <w:rPr>
                <w:rFonts w:cs="Arial"/>
              </w:rPr>
            </w:pPr>
          </w:p>
          <w:p w14:paraId="5661B33E" w14:textId="405E963C" w:rsidR="00823810" w:rsidRPr="004B77AE" w:rsidRDefault="00823810" w:rsidP="00092477">
            <w:pPr>
              <w:pStyle w:val="TableText"/>
              <w:rPr>
                <w:rFonts w:cs="Arial"/>
              </w:rPr>
            </w:pPr>
            <w:r w:rsidRPr="004B77AE">
              <w:rPr>
                <w:rFonts w:cs="Arial"/>
              </w:rPr>
              <w:t>Staff who these Networks represent can access support and guidance from them, regardless of ‘membership’ status.</w:t>
            </w:r>
          </w:p>
          <w:p w14:paraId="70C9DD91" w14:textId="77777777" w:rsidR="00823810" w:rsidRPr="004B77AE" w:rsidRDefault="00823810" w:rsidP="00092477">
            <w:pPr>
              <w:pStyle w:val="TableText"/>
              <w:rPr>
                <w:rFonts w:cs="Arial"/>
              </w:rPr>
            </w:pPr>
          </w:p>
          <w:p w14:paraId="586ADD7A" w14:textId="040B6433" w:rsidR="00823810" w:rsidRPr="004B77AE" w:rsidRDefault="00823810" w:rsidP="00092477">
            <w:pPr>
              <w:pStyle w:val="TableText"/>
              <w:rPr>
                <w:rFonts w:cs="Arial"/>
              </w:rPr>
            </w:pPr>
            <w:r w:rsidRPr="004B77AE">
              <w:rPr>
                <w:rFonts w:cs="Arial"/>
              </w:rPr>
              <w:t>The RACE Network is not currently functioning within the ICB as a full Network. RACE Network has an intranet page that is updated regularly; however, there is no membership, and the network doesn’t meet regularly. This is an ongoing piece of work to establish the need and recourse needed to develop and embed a race-related network within the ICB.</w:t>
            </w:r>
          </w:p>
          <w:p w14:paraId="4283F9D6" w14:textId="77777777" w:rsidR="00823810" w:rsidRPr="004A3123" w:rsidRDefault="00823810" w:rsidP="00092477">
            <w:pPr>
              <w:pStyle w:val="TableText"/>
              <w:rPr>
                <w:rFonts w:cs="Arial"/>
              </w:rPr>
            </w:pPr>
            <w:r w:rsidRPr="004A3123">
              <w:rPr>
                <w:rFonts w:cs="Arial"/>
                <w:b/>
                <w:bCs/>
              </w:rPr>
              <w:t>Freedom To Speak Up (FTSU)</w:t>
            </w:r>
          </w:p>
          <w:p w14:paraId="14E4ADA2" w14:textId="17485A81" w:rsidR="00823810" w:rsidRPr="004A3123" w:rsidRDefault="00823810" w:rsidP="00092477">
            <w:pPr>
              <w:pStyle w:val="TableText"/>
              <w:rPr>
                <w:rFonts w:cs="Arial"/>
              </w:rPr>
            </w:pPr>
            <w:r w:rsidRPr="004A3123">
              <w:rPr>
                <w:rFonts w:cs="Arial"/>
              </w:rPr>
              <w:t xml:space="preserve">The ICB </w:t>
            </w:r>
            <w:r w:rsidR="00AC6913" w:rsidRPr="004A3123">
              <w:rPr>
                <w:rFonts w:cs="Arial"/>
              </w:rPr>
              <w:t xml:space="preserve">has recently </w:t>
            </w:r>
            <w:r w:rsidR="006B5423" w:rsidRPr="004A3123">
              <w:rPr>
                <w:rFonts w:cs="Arial"/>
              </w:rPr>
              <w:t>undertaken a recruitment activity to</w:t>
            </w:r>
            <w:r w:rsidR="00AC6913" w:rsidRPr="004A3123">
              <w:rPr>
                <w:rFonts w:cs="Arial"/>
              </w:rPr>
              <w:t xml:space="preserve"> a</w:t>
            </w:r>
            <w:r w:rsidR="006B5423" w:rsidRPr="004A3123">
              <w:rPr>
                <w:rFonts w:cs="Arial"/>
              </w:rPr>
              <w:t xml:space="preserve">ppoint a </w:t>
            </w:r>
            <w:r w:rsidR="00AC6913" w:rsidRPr="004A3123">
              <w:rPr>
                <w:rFonts w:cs="Arial"/>
              </w:rPr>
              <w:t>Freedom to Speak Up Guardian</w:t>
            </w:r>
            <w:r w:rsidR="006B5423" w:rsidRPr="004A3123">
              <w:rPr>
                <w:rFonts w:cs="Arial"/>
              </w:rPr>
              <w:t xml:space="preserve">. The successful candidate will be </w:t>
            </w:r>
            <w:r w:rsidR="00AC6913" w:rsidRPr="004A3123">
              <w:rPr>
                <w:rFonts w:cs="Arial"/>
              </w:rPr>
              <w:t xml:space="preserve">registered with the national office. </w:t>
            </w:r>
            <w:r w:rsidR="00AC6913" w:rsidRPr="004A3123">
              <w:rPr>
                <w:rFonts w:cs="Arial"/>
              </w:rPr>
              <w:br/>
              <w:t>The FTSU Guardian will start with the ICB on 1 April 2024 for 1 day per week.</w:t>
            </w:r>
          </w:p>
          <w:p w14:paraId="2C7D06E4" w14:textId="77777777" w:rsidR="00823810" w:rsidRPr="004A3123" w:rsidRDefault="00823810" w:rsidP="00092477">
            <w:pPr>
              <w:pStyle w:val="TableText"/>
              <w:rPr>
                <w:rFonts w:cs="Arial"/>
              </w:rPr>
            </w:pPr>
          </w:p>
          <w:p w14:paraId="4F08EC0B" w14:textId="77777777" w:rsidR="00823810" w:rsidRPr="004A3123" w:rsidRDefault="00823810" w:rsidP="00092477">
            <w:pPr>
              <w:pStyle w:val="TableText"/>
              <w:rPr>
                <w:rFonts w:cs="Arial"/>
              </w:rPr>
            </w:pPr>
            <w:r w:rsidRPr="004A3123">
              <w:rPr>
                <w:rFonts w:cs="Arial"/>
                <w:b/>
                <w:bCs/>
              </w:rPr>
              <w:t>Support Outside of Line Management</w:t>
            </w:r>
          </w:p>
          <w:p w14:paraId="48D1A0AC" w14:textId="407C2425" w:rsidR="00823810" w:rsidRPr="004A3123" w:rsidRDefault="00823810" w:rsidP="00092477">
            <w:pPr>
              <w:pStyle w:val="TableText"/>
              <w:rPr>
                <w:rFonts w:cs="Arial"/>
              </w:rPr>
            </w:pPr>
            <w:r w:rsidRPr="004A3123">
              <w:rPr>
                <w:rFonts w:cs="Arial"/>
              </w:rPr>
              <w:t>Staff have several support mechanisms outside of their Line Management structure. These include:</w:t>
            </w:r>
          </w:p>
          <w:p w14:paraId="41254FE2" w14:textId="05C35E8A" w:rsidR="00823810" w:rsidRPr="004A3123" w:rsidRDefault="00823810" w:rsidP="00441BD5">
            <w:pPr>
              <w:pStyle w:val="TableText"/>
              <w:numPr>
                <w:ilvl w:val="0"/>
                <w:numId w:val="15"/>
              </w:numPr>
              <w:rPr>
                <w:rFonts w:cs="Arial"/>
              </w:rPr>
            </w:pPr>
            <w:r w:rsidRPr="004A3123">
              <w:rPr>
                <w:rFonts w:cs="Arial"/>
              </w:rPr>
              <w:t>EDI Support or Supervision (EDI SOS) drop-in sessions – these are once a month and dedicated time for anyone to drop-in and speak with the ICB’s Head of EDI.</w:t>
            </w:r>
          </w:p>
          <w:p w14:paraId="4AEEBA0C" w14:textId="72F40E15" w:rsidR="00823810" w:rsidRPr="004A3123" w:rsidRDefault="00823810" w:rsidP="00441BD5">
            <w:pPr>
              <w:pStyle w:val="TableText"/>
              <w:numPr>
                <w:ilvl w:val="0"/>
                <w:numId w:val="15"/>
              </w:numPr>
              <w:rPr>
                <w:rFonts w:cs="Arial"/>
              </w:rPr>
            </w:pPr>
            <w:r w:rsidRPr="004A3123">
              <w:rPr>
                <w:rFonts w:cs="Arial"/>
              </w:rPr>
              <w:t>Staff Engagement Group (SEG) – provides a point of escalation around themes and trends. The support for individuals and individual issues is limited.</w:t>
            </w:r>
          </w:p>
          <w:p w14:paraId="708D318B" w14:textId="172AC61B" w:rsidR="006B5423" w:rsidRPr="004A3123" w:rsidRDefault="006B5423" w:rsidP="00441BD5">
            <w:pPr>
              <w:pStyle w:val="TableText"/>
              <w:numPr>
                <w:ilvl w:val="0"/>
                <w:numId w:val="15"/>
              </w:numPr>
              <w:rPr>
                <w:rFonts w:cs="Arial"/>
              </w:rPr>
            </w:pPr>
            <w:r w:rsidRPr="004A3123">
              <w:rPr>
                <w:rFonts w:cs="Arial"/>
              </w:rPr>
              <w:t>Nurse Advocates – the IC has two nurse advocates within the organisation. They are primarily for registered nursing colleagues to seek professional supervision and support but can be accessed by all colleagues wishing to have a confidential conversation.</w:t>
            </w:r>
          </w:p>
          <w:p w14:paraId="18139AFF" w14:textId="36677E90" w:rsidR="006B5423" w:rsidRPr="004A3123" w:rsidRDefault="006B5423" w:rsidP="00441BD5">
            <w:pPr>
              <w:pStyle w:val="TableText"/>
              <w:numPr>
                <w:ilvl w:val="0"/>
                <w:numId w:val="15"/>
              </w:numPr>
              <w:rPr>
                <w:rFonts w:cs="Arial"/>
              </w:rPr>
            </w:pPr>
            <w:r w:rsidRPr="004A3123">
              <w:rPr>
                <w:rFonts w:cs="Arial"/>
              </w:rPr>
              <w:t xml:space="preserve">Mental Health First Aiders – whilst the primary function of the MHFA is to support and signpost staff to suitable </w:t>
            </w:r>
            <w:r w:rsidRPr="004A3123">
              <w:rPr>
                <w:rFonts w:cs="Arial"/>
              </w:rPr>
              <w:lastRenderedPageBreak/>
              <w:t>services, they are a natural confidante within the organisati</w:t>
            </w:r>
            <w:r w:rsidR="00003B57">
              <w:rPr>
                <w:rFonts w:cs="Arial"/>
              </w:rPr>
              <w:t>o</w:t>
            </w:r>
            <w:r w:rsidRPr="004A3123">
              <w:rPr>
                <w:rFonts w:cs="Arial"/>
              </w:rPr>
              <w:t>n.</w:t>
            </w:r>
          </w:p>
          <w:p w14:paraId="341A5B18" w14:textId="77777777" w:rsidR="00823810" w:rsidRPr="004B77AE" w:rsidRDefault="00823810" w:rsidP="00092477">
            <w:pPr>
              <w:pStyle w:val="TableText"/>
              <w:rPr>
                <w:rFonts w:cs="Arial"/>
              </w:rPr>
            </w:pPr>
          </w:p>
          <w:p w14:paraId="5D4EFD9A" w14:textId="27388401" w:rsidR="00823810" w:rsidRPr="004B77AE" w:rsidRDefault="00823810" w:rsidP="00092477">
            <w:pPr>
              <w:pStyle w:val="TableText"/>
              <w:rPr>
                <w:rFonts w:cs="Arial"/>
              </w:rPr>
            </w:pPr>
            <w:r w:rsidRPr="004B77AE">
              <w:rPr>
                <w:rFonts w:cs="Arial"/>
                <w:b/>
                <w:bCs/>
              </w:rPr>
              <w:t>Trade Union Representation</w:t>
            </w:r>
          </w:p>
          <w:p w14:paraId="6EEF7599" w14:textId="77777777" w:rsidR="00AC6913" w:rsidRPr="004B77AE" w:rsidRDefault="00823810" w:rsidP="00092477">
            <w:pPr>
              <w:pStyle w:val="TableText"/>
              <w:rPr>
                <w:rFonts w:cs="Arial"/>
              </w:rPr>
            </w:pPr>
            <w:r w:rsidRPr="004B77AE">
              <w:rPr>
                <w:rFonts w:cs="Arial"/>
              </w:rPr>
              <w:t xml:space="preserve">The ICB recognises </w:t>
            </w:r>
            <w:r w:rsidR="00AC6913" w:rsidRPr="004B77AE">
              <w:rPr>
                <w:rFonts w:cs="Arial"/>
              </w:rPr>
              <w:t>the following Trade Unions:</w:t>
            </w:r>
          </w:p>
          <w:p w14:paraId="6D004F1C" w14:textId="77777777" w:rsidR="00AC6913" w:rsidRPr="004B77AE" w:rsidRDefault="00AC6913" w:rsidP="00092477">
            <w:pPr>
              <w:pStyle w:val="TableText"/>
              <w:rPr>
                <w:rFonts w:cs="Arial"/>
              </w:rPr>
            </w:pPr>
            <w:r w:rsidRPr="004B77AE">
              <w:rPr>
                <w:rFonts w:cs="Arial"/>
              </w:rPr>
              <w:t>Unison</w:t>
            </w:r>
          </w:p>
          <w:p w14:paraId="6059473F" w14:textId="77777777" w:rsidR="00AC6913" w:rsidRPr="004B77AE" w:rsidRDefault="00AC6913" w:rsidP="00092477">
            <w:pPr>
              <w:pStyle w:val="TableText"/>
              <w:rPr>
                <w:rFonts w:cs="Arial"/>
              </w:rPr>
            </w:pPr>
            <w:r w:rsidRPr="004B77AE">
              <w:rPr>
                <w:rFonts w:cs="Arial"/>
              </w:rPr>
              <w:t>UNITE</w:t>
            </w:r>
          </w:p>
          <w:p w14:paraId="7D796DF5" w14:textId="77777777" w:rsidR="00AC6913" w:rsidRPr="004B77AE" w:rsidRDefault="00AC6913" w:rsidP="00092477">
            <w:pPr>
              <w:pStyle w:val="TableText"/>
              <w:rPr>
                <w:rFonts w:cs="Arial"/>
              </w:rPr>
            </w:pPr>
            <w:r w:rsidRPr="004B77AE">
              <w:rPr>
                <w:rFonts w:cs="Arial"/>
              </w:rPr>
              <w:t>Royal College of Nursing</w:t>
            </w:r>
          </w:p>
          <w:p w14:paraId="76D13C57" w14:textId="77777777" w:rsidR="00AC6913" w:rsidRPr="004B77AE" w:rsidRDefault="00AC6913" w:rsidP="00092477">
            <w:pPr>
              <w:pStyle w:val="TableText"/>
              <w:rPr>
                <w:rFonts w:cs="Arial"/>
              </w:rPr>
            </w:pPr>
            <w:r w:rsidRPr="004B77AE">
              <w:rPr>
                <w:rFonts w:cs="Arial"/>
              </w:rPr>
              <w:t>Royal College of Midwifery</w:t>
            </w:r>
          </w:p>
          <w:p w14:paraId="032CBA69" w14:textId="77777777" w:rsidR="00AC6913" w:rsidRPr="004B77AE" w:rsidRDefault="00AC6913" w:rsidP="00092477">
            <w:pPr>
              <w:pStyle w:val="TableText"/>
              <w:rPr>
                <w:rFonts w:cs="Arial"/>
              </w:rPr>
            </w:pPr>
            <w:r w:rsidRPr="004B77AE">
              <w:rPr>
                <w:rFonts w:cs="Arial"/>
              </w:rPr>
              <w:t>Pharmacists Defence Association</w:t>
            </w:r>
          </w:p>
          <w:p w14:paraId="488079F9" w14:textId="77777777" w:rsidR="00AC6913" w:rsidRPr="004B77AE" w:rsidRDefault="00AC6913" w:rsidP="00092477">
            <w:pPr>
              <w:pStyle w:val="TableText"/>
              <w:rPr>
                <w:rFonts w:cs="Arial"/>
              </w:rPr>
            </w:pPr>
            <w:r w:rsidRPr="004B77AE">
              <w:rPr>
                <w:rFonts w:cs="Arial"/>
              </w:rPr>
              <w:t>Managers in Partnership.</w:t>
            </w:r>
          </w:p>
          <w:p w14:paraId="1EA4FCEB" w14:textId="71174AF2" w:rsidR="00823810" w:rsidRPr="004B77AE" w:rsidRDefault="00AC6913" w:rsidP="00092477">
            <w:pPr>
              <w:pStyle w:val="TableText"/>
              <w:rPr>
                <w:rFonts w:cs="Arial"/>
              </w:rPr>
            </w:pPr>
            <w:r w:rsidRPr="004B77AE">
              <w:rPr>
                <w:rFonts w:cs="Arial"/>
              </w:rPr>
              <w:t>W</w:t>
            </w:r>
            <w:r w:rsidR="00823810" w:rsidRPr="004B77AE">
              <w:rPr>
                <w:rFonts w:cs="Arial"/>
              </w:rPr>
              <w:t xml:space="preserve">e </w:t>
            </w:r>
            <w:r w:rsidRPr="004B77AE">
              <w:rPr>
                <w:rFonts w:cs="Arial"/>
              </w:rPr>
              <w:t xml:space="preserve">only have one registered local TU Representative for </w:t>
            </w:r>
            <w:proofErr w:type="spellStart"/>
            <w:r w:rsidRPr="004B77AE">
              <w:rPr>
                <w:rFonts w:cs="Arial"/>
              </w:rPr>
              <w:t>MiP</w:t>
            </w:r>
            <w:proofErr w:type="spellEnd"/>
            <w:r w:rsidRPr="004B77AE">
              <w:rPr>
                <w:rFonts w:cs="Arial"/>
              </w:rPr>
              <w:t xml:space="preserve"> within the ICB</w:t>
            </w:r>
            <w:r w:rsidR="00823810" w:rsidRPr="004B77AE">
              <w:rPr>
                <w:rFonts w:cs="Arial"/>
              </w:rPr>
              <w:t>; therefore, TU support is usually gained from regional TU colleagues, which can cause a delay and or lack of face-to-face support.</w:t>
            </w:r>
          </w:p>
          <w:p w14:paraId="37EE6F75" w14:textId="77777777" w:rsidR="00823810" w:rsidRPr="004B77AE" w:rsidRDefault="00823810" w:rsidP="00092477">
            <w:pPr>
              <w:pStyle w:val="TableText"/>
              <w:rPr>
                <w:rFonts w:cs="Arial"/>
              </w:rPr>
            </w:pPr>
          </w:p>
          <w:p w14:paraId="7B95E91C" w14:textId="360FB42E" w:rsidR="00823810" w:rsidRPr="004B77AE" w:rsidRDefault="00823810" w:rsidP="00092477">
            <w:pPr>
              <w:pStyle w:val="TableText"/>
              <w:rPr>
                <w:rFonts w:cs="Arial"/>
              </w:rPr>
            </w:pPr>
            <w:r w:rsidRPr="004B77AE">
              <w:rPr>
                <w:rFonts w:cs="Arial"/>
                <w:b/>
                <w:bCs/>
              </w:rPr>
              <w:t>Mental Health First Aiders (MHFAs)</w:t>
            </w:r>
          </w:p>
          <w:p w14:paraId="70FCCD2F" w14:textId="00741E58" w:rsidR="00823810" w:rsidRPr="004B77AE" w:rsidRDefault="00823810" w:rsidP="00092477">
            <w:pPr>
              <w:pStyle w:val="TableText"/>
              <w:rPr>
                <w:rFonts w:cs="Arial"/>
              </w:rPr>
            </w:pPr>
            <w:r w:rsidRPr="004B77AE">
              <w:rPr>
                <w:rFonts w:cs="Arial"/>
              </w:rPr>
              <w:t>The ICB has</w:t>
            </w:r>
            <w:r w:rsidR="00AC6913" w:rsidRPr="004B77AE">
              <w:rPr>
                <w:rFonts w:cs="Arial"/>
              </w:rPr>
              <w:t xml:space="preserve"> invested in</w:t>
            </w:r>
            <w:r w:rsidRPr="004B77AE">
              <w:rPr>
                <w:rFonts w:cs="Arial"/>
              </w:rPr>
              <w:t xml:space="preserve"> MHFAs throughout the organisation. There are around 10 MHFAs within the ICB, who are diverse in their make-up (including a mix of genders, sexual orientations, ages, seniority, disability, and parenthood status). There is a lack of diversity concerning race and ethnicity amongst the MHFAs.</w:t>
            </w:r>
          </w:p>
          <w:p w14:paraId="4B7A45BE" w14:textId="77777777" w:rsidR="00823810" w:rsidRPr="004B77AE" w:rsidRDefault="00823810" w:rsidP="00092477">
            <w:pPr>
              <w:pStyle w:val="TableText"/>
              <w:rPr>
                <w:rFonts w:cs="Arial"/>
              </w:rPr>
            </w:pPr>
          </w:p>
          <w:p w14:paraId="54F85CF7" w14:textId="082A94F1" w:rsidR="00823810" w:rsidRPr="004B77AE" w:rsidRDefault="00823810" w:rsidP="00092477">
            <w:pPr>
              <w:pStyle w:val="TableText"/>
              <w:rPr>
                <w:rFonts w:cs="Arial"/>
              </w:rPr>
            </w:pPr>
            <w:r w:rsidRPr="004B77AE">
              <w:rPr>
                <w:rFonts w:cs="Arial"/>
              </w:rPr>
              <w:t>The MHFAs meet monthly in a community of practice-style discussion to support each other and debrief any cases/ support that’s been offered. The MHFAs don’t currently keep a record of the interactions they have.</w:t>
            </w:r>
          </w:p>
        </w:tc>
        <w:tc>
          <w:tcPr>
            <w:tcW w:w="1274" w:type="dxa"/>
            <w:shd w:val="clear" w:color="auto" w:fill="B3E1F5" w:themeFill="accent4" w:themeFillTint="66"/>
            <w:vAlign w:val="center"/>
          </w:tcPr>
          <w:p w14:paraId="6B07A029" w14:textId="77777777" w:rsidR="00823810" w:rsidRPr="004B77AE" w:rsidRDefault="00823810" w:rsidP="00092477">
            <w:pPr>
              <w:pStyle w:val="TableText"/>
              <w:jc w:val="center"/>
              <w:rPr>
                <w:rFonts w:cs="Arial"/>
                <w:b/>
                <w:bCs/>
                <w:sz w:val="36"/>
                <w:szCs w:val="36"/>
              </w:rPr>
            </w:pPr>
            <w:r w:rsidRPr="004B77AE">
              <w:rPr>
                <w:rFonts w:cs="Arial"/>
                <w:b/>
                <w:bCs/>
                <w:sz w:val="36"/>
                <w:szCs w:val="36"/>
              </w:rPr>
              <w:lastRenderedPageBreak/>
              <w:t>1</w:t>
            </w:r>
          </w:p>
          <w:p w14:paraId="57134346" w14:textId="1E984852" w:rsidR="00823810" w:rsidRPr="004B77AE" w:rsidRDefault="00823810" w:rsidP="00092477">
            <w:pPr>
              <w:pStyle w:val="TableText"/>
              <w:jc w:val="center"/>
              <w:rPr>
                <w:rFonts w:cs="Arial"/>
                <w:b/>
                <w:bCs/>
                <w:sz w:val="28"/>
                <w:szCs w:val="28"/>
              </w:rPr>
            </w:pPr>
            <w:r w:rsidRPr="004B77AE">
              <w:rPr>
                <w:rFonts w:cs="Arial"/>
                <w:b/>
                <w:bCs/>
                <w:sz w:val="20"/>
                <w:szCs w:val="20"/>
              </w:rPr>
              <w:t>Developing</w:t>
            </w:r>
          </w:p>
        </w:tc>
        <w:tc>
          <w:tcPr>
            <w:tcW w:w="2392" w:type="dxa"/>
          </w:tcPr>
          <w:p w14:paraId="455AF54F" w14:textId="60DD81A3" w:rsidR="00D145A5" w:rsidRPr="004B77AE" w:rsidRDefault="00D145A5" w:rsidP="00092477">
            <w:pPr>
              <w:pStyle w:val="TableText"/>
              <w:rPr>
                <w:rFonts w:cs="Arial"/>
              </w:rPr>
            </w:pPr>
            <w:r w:rsidRPr="004B77AE">
              <w:rPr>
                <w:rFonts w:cs="Arial"/>
                <w:b/>
                <w:bCs/>
              </w:rPr>
              <w:t>Gemma Waring</w:t>
            </w:r>
          </w:p>
          <w:p w14:paraId="4D81AC84" w14:textId="77777777" w:rsidR="00D145A5" w:rsidRPr="004B77AE" w:rsidRDefault="00D145A5" w:rsidP="00092477">
            <w:pPr>
              <w:pStyle w:val="TableText"/>
              <w:rPr>
                <w:rFonts w:cs="Arial"/>
              </w:rPr>
            </w:pPr>
            <w:r w:rsidRPr="004B77AE">
              <w:rPr>
                <w:rFonts w:cs="Arial"/>
              </w:rPr>
              <w:t>Head of HR and OD</w:t>
            </w:r>
          </w:p>
          <w:p w14:paraId="3FCC7FA4" w14:textId="77777777" w:rsidR="00D145A5" w:rsidRPr="004B77AE" w:rsidRDefault="00D145A5" w:rsidP="00092477">
            <w:pPr>
              <w:pStyle w:val="TableText"/>
              <w:rPr>
                <w:rFonts w:cs="Arial"/>
              </w:rPr>
            </w:pPr>
          </w:p>
          <w:p w14:paraId="23499F54" w14:textId="77777777" w:rsidR="00D145A5" w:rsidRPr="004B77AE" w:rsidRDefault="00D145A5" w:rsidP="00092477">
            <w:pPr>
              <w:pStyle w:val="TableText"/>
              <w:rPr>
                <w:rFonts w:cs="Arial"/>
              </w:rPr>
            </w:pPr>
            <w:r w:rsidRPr="004B77AE">
              <w:rPr>
                <w:rFonts w:cs="Arial"/>
                <w:b/>
                <w:bCs/>
              </w:rPr>
              <w:t>Philippa Hunt</w:t>
            </w:r>
          </w:p>
          <w:p w14:paraId="1908C294" w14:textId="5A7230CE" w:rsidR="00823810" w:rsidRPr="004B77AE" w:rsidRDefault="00D145A5" w:rsidP="00092477">
            <w:pPr>
              <w:pStyle w:val="TableText"/>
              <w:rPr>
                <w:rFonts w:cs="Arial"/>
              </w:rPr>
            </w:pPr>
            <w:r w:rsidRPr="004B77AE">
              <w:rPr>
                <w:rFonts w:cs="Arial"/>
              </w:rPr>
              <w:t>Chief People Officer</w:t>
            </w:r>
          </w:p>
        </w:tc>
      </w:tr>
      <w:tr w:rsidR="00D145A5" w:rsidRPr="004B77AE" w14:paraId="7007755E" w14:textId="77777777" w:rsidTr="00163CD1">
        <w:trPr>
          <w:cantSplit/>
          <w:trHeight w:val="1247"/>
        </w:trPr>
        <w:tc>
          <w:tcPr>
            <w:tcW w:w="1264" w:type="dxa"/>
            <w:shd w:val="clear" w:color="auto" w:fill="BDDEFF" w:themeFill="accent1" w:themeFillTint="33"/>
            <w:textDirection w:val="btLr"/>
          </w:tcPr>
          <w:p w14:paraId="45AB19B1" w14:textId="77777777" w:rsidR="00163CD1" w:rsidRPr="004B77AE" w:rsidRDefault="00163CD1" w:rsidP="00163CD1">
            <w:pPr>
              <w:ind w:left="113" w:right="113"/>
              <w:jc w:val="center"/>
              <w:rPr>
                <w:rFonts w:cs="Arial"/>
                <w:b/>
                <w:sz w:val="32"/>
                <w:szCs w:val="32"/>
              </w:rPr>
            </w:pPr>
            <w:r w:rsidRPr="004B77AE">
              <w:rPr>
                <w:rFonts w:cs="Arial"/>
                <w:b/>
                <w:sz w:val="32"/>
                <w:szCs w:val="32"/>
              </w:rPr>
              <w:lastRenderedPageBreak/>
              <w:t xml:space="preserve">Domain 2: </w:t>
            </w:r>
          </w:p>
          <w:p w14:paraId="40871966" w14:textId="77777777" w:rsidR="00163CD1" w:rsidRDefault="00163CD1" w:rsidP="00163CD1">
            <w:pPr>
              <w:ind w:left="113" w:right="113"/>
              <w:jc w:val="center"/>
              <w:rPr>
                <w:rFonts w:cs="Arial"/>
                <w:b/>
                <w:sz w:val="32"/>
                <w:szCs w:val="32"/>
              </w:rPr>
            </w:pPr>
            <w:r w:rsidRPr="004B77AE">
              <w:rPr>
                <w:rFonts w:cs="Arial"/>
                <w:b/>
                <w:sz w:val="32"/>
                <w:szCs w:val="32"/>
              </w:rPr>
              <w:t xml:space="preserve">Workforce health </w:t>
            </w:r>
          </w:p>
          <w:p w14:paraId="50056F99" w14:textId="7683FCD3" w:rsidR="00163CD1" w:rsidRPr="004B77AE" w:rsidRDefault="00163CD1" w:rsidP="00163CD1">
            <w:pPr>
              <w:ind w:left="113" w:right="113"/>
              <w:jc w:val="center"/>
              <w:rPr>
                <w:rFonts w:cs="Arial"/>
                <w:b/>
                <w:sz w:val="32"/>
                <w:szCs w:val="32"/>
              </w:rPr>
            </w:pPr>
            <w:r w:rsidRPr="004B77AE">
              <w:rPr>
                <w:rFonts w:cs="Arial"/>
                <w:b/>
                <w:sz w:val="32"/>
                <w:szCs w:val="32"/>
              </w:rPr>
              <w:t>and well-being</w:t>
            </w:r>
          </w:p>
          <w:p w14:paraId="01536A6C" w14:textId="77777777" w:rsidR="00D145A5" w:rsidRPr="004B77AE" w:rsidRDefault="00D145A5" w:rsidP="00163CD1">
            <w:pPr>
              <w:ind w:left="113" w:right="113"/>
              <w:rPr>
                <w:rFonts w:cs="Arial"/>
              </w:rPr>
            </w:pPr>
          </w:p>
        </w:tc>
        <w:tc>
          <w:tcPr>
            <w:tcW w:w="3782" w:type="dxa"/>
            <w:gridSpan w:val="2"/>
            <w:shd w:val="clear" w:color="auto" w:fill="BDDEFF" w:themeFill="accent1" w:themeFillTint="33"/>
          </w:tcPr>
          <w:p w14:paraId="782671E5" w14:textId="77777777" w:rsidR="00D145A5" w:rsidRPr="004B77AE" w:rsidRDefault="00D145A5" w:rsidP="00092477">
            <w:pPr>
              <w:rPr>
                <w:rFonts w:cs="Arial"/>
              </w:rPr>
            </w:pPr>
            <w:r w:rsidRPr="004B77AE">
              <w:rPr>
                <w:rFonts w:cs="Arial"/>
              </w:rPr>
              <w:t>2D: Staff recommend the organisation as a place to work and receive treatment</w:t>
            </w:r>
          </w:p>
        </w:tc>
        <w:tc>
          <w:tcPr>
            <w:tcW w:w="6734" w:type="dxa"/>
            <w:gridSpan w:val="2"/>
          </w:tcPr>
          <w:p w14:paraId="33DB0412" w14:textId="775D6574" w:rsidR="00A50A2F" w:rsidRPr="004B77AE" w:rsidRDefault="00A50A2F" w:rsidP="00092477">
            <w:pPr>
              <w:pStyle w:val="TableText"/>
              <w:rPr>
                <w:rFonts w:cs="Arial"/>
              </w:rPr>
            </w:pPr>
            <w:r w:rsidRPr="004B77AE">
              <w:rPr>
                <w:rFonts w:cs="Arial"/>
                <w:b/>
                <w:bCs/>
              </w:rPr>
              <w:t>Staff Survey Results</w:t>
            </w:r>
          </w:p>
          <w:p w14:paraId="1F693B32" w14:textId="7CEB7DEC" w:rsidR="00A50A2F" w:rsidRPr="004B77AE" w:rsidRDefault="00A50A2F" w:rsidP="00092477">
            <w:pPr>
              <w:pStyle w:val="TableText"/>
              <w:rPr>
                <w:rFonts w:cs="Arial"/>
              </w:rPr>
            </w:pPr>
            <w:r w:rsidRPr="004B77AE">
              <w:rPr>
                <w:rFonts w:cs="Arial"/>
              </w:rPr>
              <w:t xml:space="preserve">The </w:t>
            </w:r>
            <w:r w:rsidR="001D6D65" w:rsidRPr="004B77AE">
              <w:rPr>
                <w:rFonts w:cs="Arial"/>
              </w:rPr>
              <w:t>2023 Staff Survey Results show that 56.7% of the workforce would recommend the ICB as a place to work. This is a drop from 2022</w:t>
            </w:r>
            <w:r w:rsidR="00853136" w:rsidRPr="004B77AE">
              <w:rPr>
                <w:rFonts w:cs="Arial"/>
              </w:rPr>
              <w:t xml:space="preserve"> when 67.6% of the workforce would recommend the ICB as a place to work.</w:t>
            </w:r>
          </w:p>
          <w:p w14:paraId="12EC34C3" w14:textId="77777777" w:rsidR="00023665" w:rsidRPr="004B77AE" w:rsidRDefault="00023665" w:rsidP="00092477">
            <w:pPr>
              <w:pStyle w:val="TableText"/>
              <w:rPr>
                <w:rFonts w:cs="Arial"/>
              </w:rPr>
            </w:pPr>
          </w:p>
          <w:p w14:paraId="4D82FCAF" w14:textId="3F4B28D5" w:rsidR="00023665" w:rsidRPr="004B77AE" w:rsidRDefault="00584332" w:rsidP="00092477">
            <w:pPr>
              <w:pStyle w:val="TableText"/>
              <w:rPr>
                <w:rFonts w:cs="Arial"/>
              </w:rPr>
            </w:pPr>
            <w:r w:rsidRPr="004A3123">
              <w:rPr>
                <w:rFonts w:cs="Arial"/>
              </w:rPr>
              <w:t xml:space="preserve">As a commissioning organisation we do not directly provide any NHS or care services, however </w:t>
            </w:r>
            <w:r w:rsidR="00023665" w:rsidRPr="004A3123">
              <w:rPr>
                <w:rFonts w:cs="Arial"/>
              </w:rPr>
              <w:t xml:space="preserve">questions linked to receiving care saw a negative trend. In 2023, </w:t>
            </w:r>
            <w:r w:rsidR="00C16435" w:rsidRPr="004A3123">
              <w:rPr>
                <w:rFonts w:cs="Arial"/>
              </w:rPr>
              <w:t>47.4%</w:t>
            </w:r>
            <w:r w:rsidR="00023665" w:rsidRPr="004A3123">
              <w:rPr>
                <w:rFonts w:cs="Arial"/>
              </w:rPr>
              <w:t xml:space="preserve"> of people would be happy </w:t>
            </w:r>
            <w:r w:rsidR="00C16435" w:rsidRPr="004A3123">
              <w:rPr>
                <w:rFonts w:cs="Arial"/>
              </w:rPr>
              <w:t>with the standard of care</w:t>
            </w:r>
            <w:r w:rsidR="00C16435" w:rsidRPr="004B77AE">
              <w:rPr>
                <w:rFonts w:cs="Arial"/>
              </w:rPr>
              <w:t>, compared to 57.1% in 2022.</w:t>
            </w:r>
          </w:p>
          <w:p w14:paraId="03DCEA25" w14:textId="77777777" w:rsidR="009E3D5C" w:rsidRPr="004B77AE" w:rsidRDefault="009E3D5C" w:rsidP="00092477">
            <w:pPr>
              <w:pStyle w:val="TableText"/>
              <w:rPr>
                <w:rFonts w:cs="Arial"/>
              </w:rPr>
            </w:pPr>
          </w:p>
          <w:p w14:paraId="659792F3" w14:textId="37479811" w:rsidR="009E3D5C" w:rsidRPr="004B77AE" w:rsidRDefault="00DA04F5" w:rsidP="00092477">
            <w:pPr>
              <w:pStyle w:val="TableText"/>
              <w:rPr>
                <w:rFonts w:cs="Arial"/>
              </w:rPr>
            </w:pPr>
            <w:r w:rsidRPr="004B77AE">
              <w:rPr>
                <w:rFonts w:cs="Arial"/>
              </w:rPr>
              <w:t xml:space="preserve">Question 26a, related to thinking about leaving the organisation, saw a negative trend too. In 2023, 35.3% said they regularly thought about leaving, compared to </w:t>
            </w:r>
            <w:r w:rsidR="00253BCE" w:rsidRPr="004B77AE">
              <w:rPr>
                <w:rFonts w:cs="Arial"/>
              </w:rPr>
              <w:t>29.6% in 2022.</w:t>
            </w:r>
          </w:p>
          <w:p w14:paraId="058CA4AB" w14:textId="77777777" w:rsidR="00A50A2F" w:rsidRPr="004B77AE" w:rsidRDefault="00A50A2F" w:rsidP="00092477">
            <w:pPr>
              <w:pStyle w:val="TableText"/>
              <w:rPr>
                <w:rFonts w:cs="Arial"/>
              </w:rPr>
            </w:pPr>
          </w:p>
          <w:p w14:paraId="75853479" w14:textId="77777777" w:rsidR="00537CE7" w:rsidRPr="004B77AE" w:rsidRDefault="00537CE7" w:rsidP="00092477">
            <w:pPr>
              <w:pStyle w:val="TableText"/>
              <w:rPr>
                <w:rFonts w:cs="Arial"/>
              </w:rPr>
            </w:pPr>
            <w:r w:rsidRPr="004B77AE">
              <w:rPr>
                <w:rFonts w:cs="Arial"/>
                <w:b/>
                <w:bCs/>
              </w:rPr>
              <w:t>Exit Interviews</w:t>
            </w:r>
          </w:p>
          <w:p w14:paraId="75EC6366" w14:textId="2D6D39F1" w:rsidR="00537CE7" w:rsidRPr="004B77AE" w:rsidRDefault="00537CE7" w:rsidP="00092477">
            <w:pPr>
              <w:pStyle w:val="TableText"/>
              <w:rPr>
                <w:rFonts w:cs="Arial"/>
              </w:rPr>
            </w:pPr>
            <w:r w:rsidRPr="004B77AE">
              <w:rPr>
                <w:rFonts w:cs="Arial"/>
              </w:rPr>
              <w:t xml:space="preserve">We undertake exit interviews </w:t>
            </w:r>
            <w:r w:rsidR="006428EC" w:rsidRPr="004B77AE">
              <w:rPr>
                <w:rFonts w:cs="Arial"/>
              </w:rPr>
              <w:t>voluntarily. The information we collect is not currently used or analysed to understand themes and trends.</w:t>
            </w:r>
          </w:p>
        </w:tc>
        <w:tc>
          <w:tcPr>
            <w:tcW w:w="1274" w:type="dxa"/>
            <w:shd w:val="clear" w:color="auto" w:fill="B3E1F5" w:themeFill="accent4" w:themeFillTint="66"/>
            <w:vAlign w:val="center"/>
          </w:tcPr>
          <w:p w14:paraId="0390F65C" w14:textId="77777777" w:rsidR="00D145A5" w:rsidRPr="004B77AE" w:rsidRDefault="00D145A5" w:rsidP="00092477">
            <w:pPr>
              <w:pStyle w:val="TableText"/>
              <w:jc w:val="center"/>
              <w:rPr>
                <w:rFonts w:cs="Arial"/>
                <w:b/>
                <w:bCs/>
                <w:sz w:val="36"/>
                <w:szCs w:val="36"/>
              </w:rPr>
            </w:pPr>
            <w:r w:rsidRPr="004B77AE">
              <w:rPr>
                <w:rFonts w:cs="Arial"/>
                <w:b/>
                <w:bCs/>
                <w:sz w:val="36"/>
                <w:szCs w:val="36"/>
              </w:rPr>
              <w:lastRenderedPageBreak/>
              <w:t>1</w:t>
            </w:r>
          </w:p>
          <w:p w14:paraId="08AE335F" w14:textId="6B47E6F5" w:rsidR="00D145A5" w:rsidRPr="004B77AE" w:rsidRDefault="00D145A5" w:rsidP="00092477">
            <w:pPr>
              <w:pStyle w:val="TableText"/>
              <w:jc w:val="center"/>
              <w:rPr>
                <w:rFonts w:cs="Arial"/>
                <w:b/>
                <w:bCs/>
                <w:sz w:val="28"/>
                <w:szCs w:val="28"/>
              </w:rPr>
            </w:pPr>
            <w:r w:rsidRPr="004B77AE">
              <w:rPr>
                <w:rFonts w:cs="Arial"/>
                <w:b/>
                <w:bCs/>
                <w:sz w:val="20"/>
                <w:szCs w:val="20"/>
              </w:rPr>
              <w:t>Developing</w:t>
            </w:r>
          </w:p>
        </w:tc>
        <w:tc>
          <w:tcPr>
            <w:tcW w:w="2392" w:type="dxa"/>
          </w:tcPr>
          <w:p w14:paraId="418A56D0" w14:textId="77777777" w:rsidR="00D145A5" w:rsidRPr="004B77AE" w:rsidRDefault="00D145A5" w:rsidP="00092477">
            <w:pPr>
              <w:pStyle w:val="TableText"/>
              <w:rPr>
                <w:rFonts w:cs="Arial"/>
              </w:rPr>
            </w:pPr>
            <w:r w:rsidRPr="004B77AE">
              <w:rPr>
                <w:rFonts w:cs="Arial"/>
                <w:b/>
                <w:bCs/>
              </w:rPr>
              <w:t>Gemma Waring</w:t>
            </w:r>
          </w:p>
          <w:p w14:paraId="73314161" w14:textId="77777777" w:rsidR="00D145A5" w:rsidRPr="004B77AE" w:rsidRDefault="00D145A5" w:rsidP="00092477">
            <w:pPr>
              <w:pStyle w:val="TableText"/>
              <w:rPr>
                <w:rFonts w:cs="Arial"/>
              </w:rPr>
            </w:pPr>
            <w:r w:rsidRPr="004B77AE">
              <w:rPr>
                <w:rFonts w:cs="Arial"/>
              </w:rPr>
              <w:t>Head of HR and OD</w:t>
            </w:r>
          </w:p>
          <w:p w14:paraId="43A609F8" w14:textId="77777777" w:rsidR="00D145A5" w:rsidRPr="004B77AE" w:rsidRDefault="00D145A5" w:rsidP="00092477">
            <w:pPr>
              <w:pStyle w:val="TableText"/>
              <w:rPr>
                <w:rFonts w:cs="Arial"/>
              </w:rPr>
            </w:pPr>
          </w:p>
          <w:p w14:paraId="53D93FF1" w14:textId="77777777" w:rsidR="00D145A5" w:rsidRPr="004B77AE" w:rsidRDefault="00D145A5" w:rsidP="00092477">
            <w:pPr>
              <w:pStyle w:val="TableText"/>
              <w:rPr>
                <w:rFonts w:cs="Arial"/>
              </w:rPr>
            </w:pPr>
            <w:r w:rsidRPr="004B77AE">
              <w:rPr>
                <w:rFonts w:cs="Arial"/>
                <w:b/>
                <w:bCs/>
              </w:rPr>
              <w:t>Philippa Hunt</w:t>
            </w:r>
          </w:p>
          <w:p w14:paraId="1DF58BF8" w14:textId="5076DA04" w:rsidR="00D145A5" w:rsidRPr="004B77AE" w:rsidRDefault="00D145A5" w:rsidP="00092477">
            <w:pPr>
              <w:pStyle w:val="TableText"/>
              <w:rPr>
                <w:rFonts w:cs="Arial"/>
              </w:rPr>
            </w:pPr>
            <w:r w:rsidRPr="004B77AE">
              <w:rPr>
                <w:rFonts w:cs="Arial"/>
              </w:rPr>
              <w:t>Chief People Officer</w:t>
            </w:r>
          </w:p>
        </w:tc>
      </w:tr>
      <w:tr w:rsidR="0004281F" w:rsidRPr="004B77AE" w14:paraId="181280ED" w14:textId="77777777" w:rsidTr="0004281F">
        <w:tc>
          <w:tcPr>
            <w:tcW w:w="1271" w:type="dxa"/>
            <w:gridSpan w:val="2"/>
            <w:shd w:val="clear" w:color="auto" w:fill="BDDEFF" w:themeFill="accent1" w:themeFillTint="33"/>
          </w:tcPr>
          <w:p w14:paraId="04774D36" w14:textId="77777777" w:rsidR="0004281F" w:rsidRPr="004B77AE" w:rsidRDefault="0004281F" w:rsidP="00092477">
            <w:pPr>
              <w:rPr>
                <w:rFonts w:cs="Arial"/>
                <w:bCs/>
              </w:rPr>
            </w:pPr>
          </w:p>
        </w:tc>
        <w:tc>
          <w:tcPr>
            <w:tcW w:w="3827" w:type="dxa"/>
            <w:gridSpan w:val="2"/>
            <w:shd w:val="clear" w:color="auto" w:fill="BDDEFF" w:themeFill="accent1" w:themeFillTint="33"/>
          </w:tcPr>
          <w:p w14:paraId="53C51CE8" w14:textId="77777777" w:rsidR="0004281F" w:rsidRPr="004B77AE" w:rsidRDefault="0004281F" w:rsidP="00163CD1">
            <w:pPr>
              <w:rPr>
                <w:rFonts w:cs="Arial"/>
                <w:bCs/>
              </w:rPr>
            </w:pPr>
          </w:p>
        </w:tc>
        <w:tc>
          <w:tcPr>
            <w:tcW w:w="6682" w:type="dxa"/>
            <w:shd w:val="clear" w:color="auto" w:fill="BDDEFF" w:themeFill="accent1" w:themeFillTint="33"/>
          </w:tcPr>
          <w:p w14:paraId="3DF00215" w14:textId="77777777" w:rsidR="0004281F" w:rsidRPr="004B77AE" w:rsidRDefault="0004281F" w:rsidP="0004281F">
            <w:pPr>
              <w:rPr>
                <w:rFonts w:cs="Arial"/>
                <w:bCs/>
              </w:rPr>
            </w:pPr>
            <w:r w:rsidRPr="004B77AE">
              <w:rPr>
                <w:rFonts w:cs="Arial"/>
                <w:b/>
              </w:rPr>
              <w:t>Domain 2: Workforce health and well-being overall rating</w:t>
            </w:r>
          </w:p>
          <w:p w14:paraId="3B8CB460" w14:textId="77777777" w:rsidR="0004281F" w:rsidRDefault="0004281F" w:rsidP="0004281F">
            <w:pPr>
              <w:rPr>
                <w:rFonts w:cs="Arial"/>
                <w:bCs/>
              </w:rPr>
            </w:pPr>
            <w:r w:rsidRPr="004B77AE">
              <w:rPr>
                <w:rFonts w:cs="Arial"/>
                <w:bCs/>
              </w:rPr>
              <w:t xml:space="preserve">As a new organisation, there are challenges </w:t>
            </w:r>
            <w:r>
              <w:rPr>
                <w:rFonts w:cs="Arial"/>
                <w:bCs/>
              </w:rPr>
              <w:t xml:space="preserve">in establishing workforce practice and ongoing support as we manage the transition. </w:t>
            </w:r>
          </w:p>
          <w:p w14:paraId="692E93E7" w14:textId="1FF08B10" w:rsidR="0004281F" w:rsidRPr="004B77AE" w:rsidRDefault="0004281F" w:rsidP="0004281F">
            <w:pPr>
              <w:rPr>
                <w:rFonts w:cs="Arial"/>
                <w:bCs/>
              </w:rPr>
            </w:pPr>
            <w:r w:rsidRPr="004B77AE">
              <w:rPr>
                <w:rFonts w:cs="Arial"/>
                <w:bCs/>
              </w:rPr>
              <w:t xml:space="preserve">The ICB is working hard to understand the needs of its workforce and implement meaningful changes. We understand and acknowledge the gaps and where improvements are needed. This is why we have rated ourselves as Developing. Our ambition is to </w:t>
            </w:r>
            <w:r>
              <w:rPr>
                <w:rFonts w:cs="Arial"/>
                <w:bCs/>
              </w:rPr>
              <w:t>improve the scores on all outcomes during 2024/25</w:t>
            </w:r>
          </w:p>
        </w:tc>
        <w:tc>
          <w:tcPr>
            <w:tcW w:w="1274" w:type="dxa"/>
            <w:shd w:val="clear" w:color="auto" w:fill="1991C2" w:themeFill="accent4" w:themeFillShade="BF"/>
            <w:vAlign w:val="center"/>
          </w:tcPr>
          <w:p w14:paraId="2BC9B8BE" w14:textId="745BF7AF" w:rsidR="0004281F" w:rsidRPr="004B77AE" w:rsidRDefault="0004281F" w:rsidP="00092477">
            <w:pPr>
              <w:pStyle w:val="TableText"/>
              <w:jc w:val="center"/>
              <w:rPr>
                <w:rFonts w:cs="Arial"/>
                <w:b/>
                <w:bCs/>
                <w:sz w:val="36"/>
                <w:szCs w:val="36"/>
              </w:rPr>
            </w:pPr>
            <w:r>
              <w:rPr>
                <w:rFonts w:cs="Arial"/>
                <w:b/>
                <w:bCs/>
                <w:sz w:val="36"/>
                <w:szCs w:val="36"/>
              </w:rPr>
              <w:t>5</w:t>
            </w:r>
          </w:p>
          <w:p w14:paraId="3AECEF64" w14:textId="74C10EB0" w:rsidR="0004281F" w:rsidRPr="004B77AE" w:rsidRDefault="0004281F" w:rsidP="00092477">
            <w:pPr>
              <w:jc w:val="center"/>
              <w:rPr>
                <w:rFonts w:cs="Arial"/>
                <w:b/>
                <w:bCs/>
                <w:sz w:val="28"/>
                <w:szCs w:val="28"/>
              </w:rPr>
            </w:pPr>
            <w:r w:rsidRPr="004B77AE">
              <w:rPr>
                <w:rFonts w:cs="Arial"/>
                <w:b/>
                <w:bCs/>
                <w:sz w:val="20"/>
                <w:szCs w:val="20"/>
              </w:rPr>
              <w:t>Developing</w:t>
            </w:r>
          </w:p>
        </w:tc>
        <w:tc>
          <w:tcPr>
            <w:tcW w:w="2392" w:type="dxa"/>
            <w:shd w:val="clear" w:color="auto" w:fill="BDDEFF" w:themeFill="accent1" w:themeFillTint="33"/>
          </w:tcPr>
          <w:p w14:paraId="2EA8AD70" w14:textId="77777777" w:rsidR="0004281F" w:rsidRPr="004B77AE" w:rsidRDefault="0004281F" w:rsidP="00092477">
            <w:pPr>
              <w:rPr>
                <w:rFonts w:cs="Arial"/>
              </w:rPr>
            </w:pPr>
          </w:p>
        </w:tc>
      </w:tr>
    </w:tbl>
    <w:p w14:paraId="3210FD00" w14:textId="77777777" w:rsidR="00BB480F" w:rsidRPr="00500A4F" w:rsidRDefault="00BB480F" w:rsidP="00BB480F">
      <w:pPr>
        <w:rPr>
          <w:rFonts w:ascii="Tenorite" w:hAnsi="Tenorite" w:cs="Arial"/>
        </w:rPr>
      </w:pPr>
      <w:r w:rsidRPr="00500A4F">
        <w:rPr>
          <w:rFonts w:ascii="Tenorite" w:hAnsi="Tenorite" w:cs="Arial"/>
        </w:rPr>
        <w:br w:type="page"/>
      </w:r>
    </w:p>
    <w:p w14:paraId="50C6ABD6" w14:textId="62C41BCB" w:rsidR="00BB480F" w:rsidRPr="004B77AE" w:rsidRDefault="00BB480F" w:rsidP="004836B2">
      <w:pPr>
        <w:pStyle w:val="Heading2"/>
        <w:rPr>
          <w:rFonts w:cs="Arial"/>
        </w:rPr>
      </w:pPr>
      <w:bookmarkStart w:id="9" w:name="_Toc166768103"/>
      <w:r w:rsidRPr="004B77AE">
        <w:rPr>
          <w:rFonts w:cs="Arial"/>
        </w:rPr>
        <w:lastRenderedPageBreak/>
        <w:t xml:space="preserve">Domain 3: Inclusive </w:t>
      </w:r>
      <w:r w:rsidR="00C8623F" w:rsidRPr="004B77AE">
        <w:rPr>
          <w:rFonts w:cs="Arial"/>
        </w:rPr>
        <w:t>L</w:t>
      </w:r>
      <w:r w:rsidRPr="004B77AE">
        <w:rPr>
          <w:rFonts w:cs="Arial"/>
        </w:rPr>
        <w:t>eadership</w:t>
      </w:r>
      <w:r w:rsidR="0097335A" w:rsidRPr="004B77AE">
        <w:rPr>
          <w:rFonts w:cs="Arial"/>
        </w:rPr>
        <w:t xml:space="preserve"> (Q3 collection)</w:t>
      </w:r>
      <w:bookmarkEnd w:id="9"/>
    </w:p>
    <w:tbl>
      <w:tblPr>
        <w:tblStyle w:val="TableGrid"/>
        <w:tblW w:w="15323" w:type="dxa"/>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370"/>
        <w:gridCol w:w="43"/>
        <w:gridCol w:w="3791"/>
        <w:gridCol w:w="36"/>
        <w:gridCol w:w="6168"/>
        <w:gridCol w:w="18"/>
        <w:gridCol w:w="1532"/>
        <w:gridCol w:w="18"/>
        <w:gridCol w:w="2329"/>
        <w:gridCol w:w="18"/>
      </w:tblGrid>
      <w:tr w:rsidR="00BB480F" w:rsidRPr="004B77AE" w14:paraId="07F3F03C" w14:textId="77777777" w:rsidTr="0004281F">
        <w:trPr>
          <w:trHeight w:val="364"/>
        </w:trPr>
        <w:tc>
          <w:tcPr>
            <w:tcW w:w="1370" w:type="dxa"/>
            <w:shd w:val="clear" w:color="auto" w:fill="BDDEFF" w:themeFill="accent1" w:themeFillTint="33"/>
            <w:vAlign w:val="center"/>
          </w:tcPr>
          <w:p w14:paraId="70BB0B7A" w14:textId="77777777" w:rsidR="00BB480F" w:rsidRPr="004B77AE" w:rsidRDefault="00BB480F" w:rsidP="00420207">
            <w:pPr>
              <w:spacing w:afterLines="60" w:after="144" w:line="259" w:lineRule="auto"/>
              <w:jc w:val="center"/>
              <w:rPr>
                <w:rFonts w:cs="Arial"/>
                <w:b/>
              </w:rPr>
            </w:pPr>
            <w:r w:rsidRPr="004B77AE">
              <w:rPr>
                <w:rFonts w:cs="Arial"/>
                <w:b/>
              </w:rPr>
              <w:t>Domain</w:t>
            </w:r>
          </w:p>
        </w:tc>
        <w:tc>
          <w:tcPr>
            <w:tcW w:w="3834" w:type="dxa"/>
            <w:gridSpan w:val="2"/>
            <w:shd w:val="clear" w:color="auto" w:fill="BDDEFF" w:themeFill="accent1" w:themeFillTint="33"/>
            <w:vAlign w:val="center"/>
          </w:tcPr>
          <w:p w14:paraId="52B4463F" w14:textId="77777777" w:rsidR="00BB480F" w:rsidRPr="004B77AE" w:rsidRDefault="00BB480F" w:rsidP="00420207">
            <w:pPr>
              <w:spacing w:afterLines="60" w:after="144" w:line="259" w:lineRule="auto"/>
              <w:jc w:val="center"/>
              <w:rPr>
                <w:rFonts w:cs="Arial"/>
                <w:b/>
              </w:rPr>
            </w:pPr>
            <w:r w:rsidRPr="004B77AE">
              <w:rPr>
                <w:rFonts w:cs="Arial"/>
                <w:b/>
              </w:rPr>
              <w:t>Outcome</w:t>
            </w:r>
          </w:p>
        </w:tc>
        <w:tc>
          <w:tcPr>
            <w:tcW w:w="6222" w:type="dxa"/>
            <w:gridSpan w:val="3"/>
            <w:shd w:val="clear" w:color="auto" w:fill="BDDEFF" w:themeFill="accent1" w:themeFillTint="33"/>
            <w:vAlign w:val="center"/>
          </w:tcPr>
          <w:p w14:paraId="68F7D3B3" w14:textId="42C6D99A" w:rsidR="00BB480F" w:rsidRPr="004B77AE" w:rsidRDefault="00BB480F" w:rsidP="00420207">
            <w:pPr>
              <w:spacing w:afterLines="60" w:after="144" w:line="259" w:lineRule="auto"/>
              <w:jc w:val="center"/>
              <w:rPr>
                <w:rFonts w:cs="Arial"/>
                <w:b/>
              </w:rPr>
            </w:pPr>
            <w:r w:rsidRPr="004B77AE">
              <w:rPr>
                <w:rFonts w:cs="Arial"/>
                <w:b/>
              </w:rPr>
              <w:t>Evidence</w:t>
            </w:r>
          </w:p>
        </w:tc>
        <w:tc>
          <w:tcPr>
            <w:tcW w:w="1550" w:type="dxa"/>
            <w:gridSpan w:val="2"/>
            <w:shd w:val="clear" w:color="auto" w:fill="BDDEFF" w:themeFill="accent1" w:themeFillTint="33"/>
            <w:vAlign w:val="center"/>
          </w:tcPr>
          <w:p w14:paraId="06815AB0" w14:textId="77777777" w:rsidR="00BB480F" w:rsidRPr="004B77AE" w:rsidRDefault="00BB480F" w:rsidP="00420207">
            <w:pPr>
              <w:spacing w:afterLines="60" w:after="144" w:line="259" w:lineRule="auto"/>
              <w:jc w:val="center"/>
              <w:rPr>
                <w:rFonts w:cs="Arial"/>
                <w:b/>
              </w:rPr>
            </w:pPr>
            <w:r w:rsidRPr="004B77AE">
              <w:rPr>
                <w:rFonts w:cs="Arial"/>
                <w:b/>
              </w:rPr>
              <w:t>Rating</w:t>
            </w:r>
          </w:p>
        </w:tc>
        <w:tc>
          <w:tcPr>
            <w:tcW w:w="2347" w:type="dxa"/>
            <w:gridSpan w:val="2"/>
            <w:shd w:val="clear" w:color="auto" w:fill="BDDEFF" w:themeFill="accent1" w:themeFillTint="33"/>
            <w:vAlign w:val="center"/>
          </w:tcPr>
          <w:p w14:paraId="2B80D18E" w14:textId="77777777" w:rsidR="00BB480F" w:rsidRPr="004B77AE" w:rsidRDefault="00BB480F" w:rsidP="00420207">
            <w:pPr>
              <w:spacing w:afterLines="60" w:after="144"/>
              <w:jc w:val="center"/>
              <w:rPr>
                <w:rFonts w:cs="Arial"/>
                <w:b/>
              </w:rPr>
            </w:pPr>
            <w:r w:rsidRPr="004B77AE">
              <w:rPr>
                <w:rFonts w:cs="Arial"/>
                <w:b/>
              </w:rPr>
              <w:t>Owner (Dept/Lead)</w:t>
            </w:r>
          </w:p>
        </w:tc>
      </w:tr>
      <w:tr w:rsidR="0097719E" w:rsidRPr="004B77AE" w14:paraId="3760CE31" w14:textId="77777777" w:rsidTr="0004281F">
        <w:trPr>
          <w:cantSplit/>
          <w:trHeight w:val="1632"/>
        </w:trPr>
        <w:tc>
          <w:tcPr>
            <w:tcW w:w="1370" w:type="dxa"/>
            <w:shd w:val="clear" w:color="auto" w:fill="BDDEFF" w:themeFill="accent1" w:themeFillTint="33"/>
            <w:textDirection w:val="btLr"/>
            <w:vAlign w:val="center"/>
          </w:tcPr>
          <w:p w14:paraId="3453D164" w14:textId="77777777" w:rsidR="0097719E" w:rsidRPr="004B77AE" w:rsidRDefault="0097719E" w:rsidP="0097719E">
            <w:pPr>
              <w:jc w:val="center"/>
              <w:rPr>
                <w:rFonts w:cs="Arial"/>
                <w:b/>
                <w:sz w:val="32"/>
                <w:szCs w:val="32"/>
              </w:rPr>
            </w:pPr>
            <w:r w:rsidRPr="004B77AE">
              <w:rPr>
                <w:rFonts w:cs="Arial"/>
                <w:b/>
                <w:sz w:val="32"/>
                <w:szCs w:val="32"/>
              </w:rPr>
              <w:lastRenderedPageBreak/>
              <w:t>Domain 3:</w:t>
            </w:r>
          </w:p>
          <w:p w14:paraId="0E94A786" w14:textId="13F0BA8B" w:rsidR="0097719E" w:rsidRPr="004B77AE" w:rsidRDefault="0097719E" w:rsidP="0097719E">
            <w:pPr>
              <w:jc w:val="center"/>
              <w:rPr>
                <w:rFonts w:cs="Arial"/>
                <w:b/>
                <w:sz w:val="32"/>
                <w:szCs w:val="32"/>
              </w:rPr>
            </w:pPr>
            <w:r w:rsidRPr="004B77AE">
              <w:rPr>
                <w:rFonts w:cs="Arial"/>
                <w:b/>
                <w:sz w:val="32"/>
                <w:szCs w:val="32"/>
              </w:rPr>
              <w:t>Inclusive leadership</w:t>
            </w:r>
          </w:p>
          <w:p w14:paraId="77EB6A03" w14:textId="77777777" w:rsidR="0097719E" w:rsidRPr="004B77AE" w:rsidRDefault="0097719E" w:rsidP="0097719E">
            <w:pPr>
              <w:spacing w:after="160" w:line="259" w:lineRule="auto"/>
              <w:jc w:val="center"/>
              <w:rPr>
                <w:rFonts w:cs="Arial"/>
              </w:rPr>
            </w:pPr>
          </w:p>
        </w:tc>
        <w:tc>
          <w:tcPr>
            <w:tcW w:w="3834" w:type="dxa"/>
            <w:gridSpan w:val="2"/>
            <w:shd w:val="clear" w:color="auto" w:fill="BDDEFF" w:themeFill="accent1" w:themeFillTint="33"/>
          </w:tcPr>
          <w:p w14:paraId="1D4EE6FC" w14:textId="77777777" w:rsidR="0097719E" w:rsidRPr="004B77AE" w:rsidRDefault="0097719E" w:rsidP="0097719E">
            <w:pPr>
              <w:spacing w:line="259" w:lineRule="auto"/>
              <w:rPr>
                <w:rFonts w:cs="Arial"/>
              </w:rPr>
            </w:pPr>
            <w:r w:rsidRPr="004B77AE">
              <w:rPr>
                <w:rFonts w:cs="Arial"/>
              </w:rPr>
              <w:t>3A: Board members, system leaders (Band 9 and VSM) and those with line management responsibilities routinely demonstrate their understanding of, and commitment to, equality and health inequalities</w:t>
            </w:r>
          </w:p>
        </w:tc>
        <w:tc>
          <w:tcPr>
            <w:tcW w:w="6222" w:type="dxa"/>
            <w:gridSpan w:val="3"/>
          </w:tcPr>
          <w:p w14:paraId="6B2F42C4" w14:textId="14C36C96" w:rsidR="0097719E" w:rsidRPr="004B77AE" w:rsidRDefault="0097719E" w:rsidP="00441BD5">
            <w:pPr>
              <w:pStyle w:val="ListParagraph"/>
              <w:numPr>
                <w:ilvl w:val="0"/>
                <w:numId w:val="9"/>
              </w:numPr>
              <w:spacing w:line="259" w:lineRule="auto"/>
              <w:rPr>
                <w:rFonts w:cs="Arial"/>
              </w:rPr>
            </w:pPr>
            <w:r w:rsidRPr="004B77AE">
              <w:rPr>
                <w:rFonts w:cs="Arial"/>
              </w:rPr>
              <w:t>Networks: Sponsors identified. Regular meetings with SRO. Sponsors encouraged to attend Network meetings – currently mixed.</w:t>
            </w:r>
          </w:p>
          <w:p w14:paraId="544200B6" w14:textId="51A8813D" w:rsidR="0097719E" w:rsidRPr="004B77AE" w:rsidRDefault="007C3F63" w:rsidP="00441BD5">
            <w:pPr>
              <w:pStyle w:val="ListParagraph"/>
              <w:numPr>
                <w:ilvl w:val="0"/>
                <w:numId w:val="9"/>
              </w:numPr>
              <w:spacing w:line="259" w:lineRule="auto"/>
              <w:rPr>
                <w:rFonts w:cs="Arial"/>
              </w:rPr>
            </w:pPr>
            <w:hyperlink r:id="rId20" w:history="1">
              <w:r w:rsidR="0097719E" w:rsidRPr="004B77AE">
                <w:rPr>
                  <w:rStyle w:val="Hyperlink"/>
                  <w:rFonts w:cs="Arial"/>
                </w:rPr>
                <w:t>Leadership Framework for Health Inequalities</w:t>
              </w:r>
            </w:hyperlink>
          </w:p>
          <w:p w14:paraId="7DA1C5A3" w14:textId="77777777" w:rsidR="0097719E" w:rsidRPr="004B77AE" w:rsidRDefault="0097719E" w:rsidP="00441BD5">
            <w:pPr>
              <w:pStyle w:val="ListParagraph"/>
              <w:numPr>
                <w:ilvl w:val="0"/>
                <w:numId w:val="9"/>
              </w:numPr>
              <w:spacing w:line="259" w:lineRule="auto"/>
              <w:rPr>
                <w:rFonts w:cs="Arial"/>
              </w:rPr>
            </w:pPr>
            <w:r w:rsidRPr="004B77AE">
              <w:rPr>
                <w:rFonts w:cs="Arial"/>
              </w:rPr>
              <w:t>Commitment: *need examples*</w:t>
            </w:r>
          </w:p>
          <w:p w14:paraId="581BAD3B" w14:textId="77777777" w:rsidR="0097719E" w:rsidRPr="004B77AE" w:rsidRDefault="0097719E" w:rsidP="00441BD5">
            <w:pPr>
              <w:pStyle w:val="ListParagraph"/>
              <w:numPr>
                <w:ilvl w:val="0"/>
                <w:numId w:val="9"/>
              </w:numPr>
              <w:spacing w:line="259" w:lineRule="auto"/>
              <w:rPr>
                <w:rFonts w:cs="Arial"/>
              </w:rPr>
            </w:pPr>
            <w:r w:rsidRPr="004B77AE">
              <w:rPr>
                <w:rFonts w:cs="Arial"/>
              </w:rPr>
              <w:t>Engagement in Activities: *need examples*</w:t>
            </w:r>
          </w:p>
          <w:p w14:paraId="69132435" w14:textId="77777777" w:rsidR="0097719E" w:rsidRPr="004B77AE" w:rsidRDefault="0097719E" w:rsidP="00441BD5">
            <w:pPr>
              <w:pStyle w:val="ListParagraph"/>
              <w:numPr>
                <w:ilvl w:val="0"/>
                <w:numId w:val="9"/>
              </w:numPr>
              <w:spacing w:line="259" w:lineRule="auto"/>
              <w:rPr>
                <w:rFonts w:cs="Arial"/>
              </w:rPr>
            </w:pPr>
            <w:r w:rsidRPr="004B77AE">
              <w:rPr>
                <w:rFonts w:cs="Arial"/>
              </w:rPr>
              <w:t>EQIA Understanding</w:t>
            </w:r>
          </w:p>
          <w:p w14:paraId="3449F3F5" w14:textId="11EA0FDD" w:rsidR="0097719E" w:rsidRPr="004B77AE" w:rsidRDefault="0097719E" w:rsidP="00441BD5">
            <w:pPr>
              <w:pStyle w:val="ListParagraph"/>
              <w:numPr>
                <w:ilvl w:val="0"/>
                <w:numId w:val="9"/>
              </w:numPr>
              <w:spacing w:line="259" w:lineRule="auto"/>
              <w:rPr>
                <w:rFonts w:cs="Arial"/>
              </w:rPr>
            </w:pPr>
            <w:r w:rsidRPr="004B77AE">
              <w:rPr>
                <w:rFonts w:cs="Arial"/>
              </w:rPr>
              <w:t>Getting To Equity Programme</w:t>
            </w:r>
          </w:p>
          <w:p w14:paraId="72B1D4D7" w14:textId="77777777" w:rsidR="00A75FA4" w:rsidRPr="004B77AE" w:rsidRDefault="00A75FA4" w:rsidP="00A75FA4">
            <w:pPr>
              <w:spacing w:line="259" w:lineRule="auto"/>
              <w:rPr>
                <w:rFonts w:cs="Arial"/>
              </w:rPr>
            </w:pPr>
          </w:p>
          <w:p w14:paraId="394AEE38" w14:textId="749E47E5" w:rsidR="00A75FA4" w:rsidRPr="004B77AE" w:rsidRDefault="00A75FA4" w:rsidP="00A75FA4">
            <w:pPr>
              <w:spacing w:line="259" w:lineRule="auto"/>
              <w:rPr>
                <w:rFonts w:cs="Arial"/>
              </w:rPr>
            </w:pPr>
            <w:r w:rsidRPr="004B77AE">
              <w:rPr>
                <w:rFonts w:cs="Arial"/>
                <w:b/>
                <w:bCs/>
              </w:rPr>
              <w:t>Six High Impact Areas, NHS England</w:t>
            </w:r>
          </w:p>
          <w:p w14:paraId="04F432FD" w14:textId="48C6E640" w:rsidR="00A75FA4" w:rsidRPr="004B77AE" w:rsidRDefault="0078620D" w:rsidP="00A75FA4">
            <w:pPr>
              <w:spacing w:line="259" w:lineRule="auto"/>
              <w:rPr>
                <w:rFonts w:cs="Arial"/>
                <w:b/>
                <w:bCs/>
                <w:color w:val="015EB8"/>
              </w:rPr>
            </w:pPr>
            <w:r w:rsidRPr="004B77AE">
              <w:rPr>
                <w:rFonts w:cs="Arial"/>
                <w:b/>
                <w:bCs/>
                <w:color w:val="015EB8"/>
              </w:rPr>
              <w:t>High Impact Action 1</w:t>
            </w:r>
          </w:p>
          <w:p w14:paraId="4DFA1741" w14:textId="78E170EC" w:rsidR="0078620D" w:rsidRPr="004B77AE" w:rsidRDefault="0078620D" w:rsidP="00A75FA4">
            <w:pPr>
              <w:spacing w:line="259" w:lineRule="auto"/>
              <w:rPr>
                <w:rFonts w:cs="Arial"/>
              </w:rPr>
            </w:pPr>
            <w:r w:rsidRPr="004B77AE">
              <w:rPr>
                <w:rFonts w:cs="Arial"/>
              </w:rPr>
              <w:t>The Board have individual and collective actions linked to EDI which are measurable and specific.</w:t>
            </w:r>
          </w:p>
          <w:p w14:paraId="4B4C787E" w14:textId="77777777" w:rsidR="00746CFE" w:rsidRPr="004B77AE" w:rsidRDefault="00746CFE" w:rsidP="00A75FA4">
            <w:pPr>
              <w:spacing w:line="259" w:lineRule="auto"/>
              <w:rPr>
                <w:rFonts w:cs="Arial"/>
              </w:rPr>
            </w:pPr>
          </w:p>
          <w:p w14:paraId="5A09C991" w14:textId="67FDE6E3" w:rsidR="00746CFE" w:rsidRPr="004B77AE" w:rsidRDefault="00746CFE" w:rsidP="00A75FA4">
            <w:pPr>
              <w:spacing w:line="259" w:lineRule="auto"/>
              <w:rPr>
                <w:rFonts w:cs="Arial"/>
                <w:b/>
                <w:bCs/>
                <w:color w:val="015EB8"/>
              </w:rPr>
            </w:pPr>
            <w:r w:rsidRPr="004B77AE">
              <w:rPr>
                <w:rFonts w:cs="Arial"/>
                <w:b/>
                <w:bCs/>
                <w:color w:val="015EB8"/>
              </w:rPr>
              <w:t>High Impact Action 2</w:t>
            </w:r>
          </w:p>
          <w:p w14:paraId="3F8A3E5F" w14:textId="21E1A7E6" w:rsidR="00746CFE" w:rsidRPr="004B77AE" w:rsidRDefault="00746CFE" w:rsidP="00A75FA4">
            <w:pPr>
              <w:spacing w:line="259" w:lineRule="auto"/>
              <w:rPr>
                <w:rFonts w:cs="Arial"/>
              </w:rPr>
            </w:pPr>
            <w:r w:rsidRPr="004B77AE">
              <w:rPr>
                <w:rFonts w:cs="Arial"/>
              </w:rPr>
              <w:t>The ICB has fair recruitment processes in place</w:t>
            </w:r>
            <w:r w:rsidR="00003B57">
              <w:rPr>
                <w:rFonts w:cs="Arial"/>
              </w:rPr>
              <w:t xml:space="preserve"> </w:t>
            </w:r>
            <w:r w:rsidRPr="004B77AE">
              <w:rPr>
                <w:rFonts w:cs="Arial"/>
              </w:rPr>
              <w:t>but acknowledges more could be done to improve equity of access and opportunity.</w:t>
            </w:r>
            <w:r w:rsidR="00C72057" w:rsidRPr="004B77AE">
              <w:rPr>
                <w:rFonts w:cs="Arial"/>
              </w:rPr>
              <w:t xml:space="preserve"> Further work is planned in 2024/2025 to improve the equity and inclusivity of the recruitment processes within the ICB.</w:t>
            </w:r>
          </w:p>
          <w:p w14:paraId="3EC8A35F" w14:textId="77777777" w:rsidR="00C72057" w:rsidRPr="004B77AE" w:rsidRDefault="00C72057" w:rsidP="00A75FA4">
            <w:pPr>
              <w:spacing w:line="259" w:lineRule="auto"/>
              <w:rPr>
                <w:rFonts w:cs="Arial"/>
              </w:rPr>
            </w:pPr>
          </w:p>
          <w:p w14:paraId="2AD594AB" w14:textId="24C9DCEA" w:rsidR="00C72057" w:rsidRPr="004B77AE" w:rsidRDefault="00C72057" w:rsidP="00A75FA4">
            <w:pPr>
              <w:spacing w:line="259" w:lineRule="auto"/>
              <w:rPr>
                <w:rFonts w:cs="Arial"/>
                <w:b/>
                <w:bCs/>
                <w:color w:val="015EB8"/>
              </w:rPr>
            </w:pPr>
            <w:r w:rsidRPr="004B77AE">
              <w:rPr>
                <w:rFonts w:cs="Arial"/>
                <w:b/>
                <w:bCs/>
                <w:color w:val="015EB8"/>
              </w:rPr>
              <w:t>High Impact Action 3</w:t>
            </w:r>
          </w:p>
          <w:p w14:paraId="5501312F" w14:textId="501B10B2" w:rsidR="00C72057" w:rsidRPr="004B77AE" w:rsidRDefault="00195D79" w:rsidP="00A75FA4">
            <w:pPr>
              <w:spacing w:line="259" w:lineRule="auto"/>
              <w:rPr>
                <w:rFonts w:cs="Arial"/>
              </w:rPr>
            </w:pPr>
            <w:r w:rsidRPr="004B77AE">
              <w:rPr>
                <w:rFonts w:cs="Arial"/>
              </w:rPr>
              <w:t>The ICB has fulfilled its legal obligations around Gender Pay Gap monitoring and an Action Plan has been developed. In addition, we have measured the Ethnicity Pay Gap information and a separate Action Plan has been produced.</w:t>
            </w:r>
            <w:r w:rsidR="00C20BF4" w:rsidRPr="004B77AE">
              <w:rPr>
                <w:rFonts w:cs="Arial"/>
              </w:rPr>
              <w:t xml:space="preserve"> This shows the ICB has gone above and beyond its statutory duties.</w:t>
            </w:r>
          </w:p>
          <w:p w14:paraId="15D2B16F" w14:textId="77777777" w:rsidR="00C20BF4" w:rsidRPr="004B77AE" w:rsidRDefault="00C20BF4" w:rsidP="00A75FA4">
            <w:pPr>
              <w:spacing w:line="259" w:lineRule="auto"/>
              <w:rPr>
                <w:rFonts w:cs="Arial"/>
              </w:rPr>
            </w:pPr>
          </w:p>
          <w:p w14:paraId="3231A956" w14:textId="5E773B5A" w:rsidR="00C20BF4" w:rsidRPr="004B77AE" w:rsidRDefault="00C20BF4" w:rsidP="00A75FA4">
            <w:pPr>
              <w:spacing w:line="259" w:lineRule="auto"/>
              <w:rPr>
                <w:rFonts w:cs="Arial"/>
                <w:b/>
                <w:bCs/>
                <w:color w:val="015EB8"/>
              </w:rPr>
            </w:pPr>
            <w:r w:rsidRPr="004B77AE">
              <w:rPr>
                <w:rFonts w:cs="Arial"/>
                <w:b/>
                <w:bCs/>
                <w:color w:val="015EB8"/>
              </w:rPr>
              <w:t>High Impact Action 4</w:t>
            </w:r>
          </w:p>
          <w:p w14:paraId="2890ABA7" w14:textId="5632CF99" w:rsidR="00C20BF4" w:rsidRPr="004B77AE" w:rsidRDefault="00C20BF4" w:rsidP="00A75FA4">
            <w:pPr>
              <w:spacing w:line="259" w:lineRule="auto"/>
              <w:rPr>
                <w:rFonts w:cs="Arial"/>
              </w:rPr>
            </w:pPr>
            <w:r w:rsidRPr="004B77AE">
              <w:rPr>
                <w:rFonts w:cs="Arial"/>
              </w:rPr>
              <w:lastRenderedPageBreak/>
              <w:t xml:space="preserve">The ICB doesn’t currently have a People Strategy or People Plan to address </w:t>
            </w:r>
            <w:r w:rsidR="00543737" w:rsidRPr="004B77AE">
              <w:rPr>
                <w:rFonts w:cs="Arial"/>
              </w:rPr>
              <w:t xml:space="preserve">health inequalities amongst the </w:t>
            </w:r>
            <w:proofErr w:type="gramStart"/>
            <w:r w:rsidR="00543737" w:rsidRPr="004B77AE">
              <w:rPr>
                <w:rFonts w:cs="Arial"/>
              </w:rPr>
              <w:t>workforce</w:t>
            </w:r>
            <w:proofErr w:type="gramEnd"/>
            <w:r w:rsidR="00543737" w:rsidRPr="004B77AE">
              <w:rPr>
                <w:rFonts w:cs="Arial"/>
              </w:rPr>
              <w:t>. The ICB will work on this action during 2024/2025.</w:t>
            </w:r>
          </w:p>
          <w:p w14:paraId="77AF47DF" w14:textId="77777777" w:rsidR="009C1729" w:rsidRPr="004B77AE" w:rsidRDefault="009C1729" w:rsidP="00A75FA4">
            <w:pPr>
              <w:spacing w:line="259" w:lineRule="auto"/>
              <w:rPr>
                <w:rFonts w:cs="Arial"/>
              </w:rPr>
            </w:pPr>
          </w:p>
          <w:p w14:paraId="66E85F98" w14:textId="55DCF048" w:rsidR="009C1729" w:rsidRPr="004B77AE" w:rsidRDefault="009C1729" w:rsidP="00A75FA4">
            <w:pPr>
              <w:spacing w:line="259" w:lineRule="auto"/>
              <w:rPr>
                <w:rFonts w:cs="Arial"/>
                <w:b/>
                <w:bCs/>
                <w:color w:val="015EB8"/>
              </w:rPr>
            </w:pPr>
            <w:r w:rsidRPr="004B77AE">
              <w:rPr>
                <w:rFonts w:cs="Arial"/>
                <w:b/>
                <w:bCs/>
                <w:color w:val="015EB8"/>
              </w:rPr>
              <w:t>High Impact Action 5</w:t>
            </w:r>
          </w:p>
          <w:p w14:paraId="3A5A6BC5" w14:textId="54BB0EF3" w:rsidR="009C1729" w:rsidRPr="004B77AE" w:rsidRDefault="009C1729" w:rsidP="00A75FA4">
            <w:pPr>
              <w:spacing w:line="259" w:lineRule="auto"/>
              <w:rPr>
                <w:rFonts w:cs="Arial"/>
              </w:rPr>
            </w:pPr>
            <w:r w:rsidRPr="004B77AE">
              <w:rPr>
                <w:rFonts w:cs="Arial"/>
              </w:rPr>
              <w:t xml:space="preserve">The ICB is not currently actively recruiting internationally </w:t>
            </w:r>
            <w:r w:rsidR="00EF64A3" w:rsidRPr="004B77AE">
              <w:rPr>
                <w:rFonts w:cs="Arial"/>
              </w:rPr>
              <w:t>recruited</w:t>
            </w:r>
            <w:r w:rsidRPr="004B77AE">
              <w:rPr>
                <w:rFonts w:cs="Arial"/>
              </w:rPr>
              <w:t xml:space="preserve"> staff. The ICB</w:t>
            </w:r>
            <w:r w:rsidR="0095586A" w:rsidRPr="004B77AE">
              <w:rPr>
                <w:rFonts w:cs="Arial"/>
              </w:rPr>
              <w:t xml:space="preserve"> has a Head of Professional Practice in post who advises the System on supporting </w:t>
            </w:r>
            <w:r w:rsidR="00EF64A3" w:rsidRPr="004B77AE">
              <w:rPr>
                <w:rFonts w:cs="Arial"/>
              </w:rPr>
              <w:t>internationally recruited staff.</w:t>
            </w:r>
          </w:p>
          <w:p w14:paraId="360A9132" w14:textId="77777777" w:rsidR="00EF64A3" w:rsidRPr="004B77AE" w:rsidRDefault="00EF64A3" w:rsidP="00A75FA4">
            <w:pPr>
              <w:spacing w:line="259" w:lineRule="auto"/>
              <w:rPr>
                <w:rFonts w:cs="Arial"/>
              </w:rPr>
            </w:pPr>
          </w:p>
          <w:p w14:paraId="701B3AA3" w14:textId="16D162B9" w:rsidR="00EF64A3" w:rsidRPr="004B77AE" w:rsidRDefault="00EF64A3" w:rsidP="00A75FA4">
            <w:pPr>
              <w:spacing w:line="259" w:lineRule="auto"/>
              <w:rPr>
                <w:rFonts w:cs="Arial"/>
                <w:b/>
                <w:bCs/>
                <w:color w:val="015EB8"/>
              </w:rPr>
            </w:pPr>
            <w:r w:rsidRPr="004B77AE">
              <w:rPr>
                <w:rFonts w:cs="Arial"/>
                <w:b/>
                <w:bCs/>
                <w:color w:val="015EB8"/>
              </w:rPr>
              <w:t>High Impact Action 6</w:t>
            </w:r>
          </w:p>
          <w:p w14:paraId="46C84187" w14:textId="076E6BF1" w:rsidR="00EF64A3" w:rsidRPr="004B77AE" w:rsidRDefault="00FE55D6" w:rsidP="00A75FA4">
            <w:pPr>
              <w:spacing w:line="259" w:lineRule="auto"/>
              <w:rPr>
                <w:rFonts w:cs="Arial"/>
              </w:rPr>
            </w:pPr>
            <w:r w:rsidRPr="004B77AE">
              <w:rPr>
                <w:rFonts w:cs="Arial"/>
              </w:rPr>
              <w:t>One of the specific EDI Objectives is linked to creating a diverse and inclusive workforce. This work has begun and will continue throughout 2024/2025 and beyond.</w:t>
            </w:r>
          </w:p>
          <w:p w14:paraId="02BF5F83" w14:textId="77777777" w:rsidR="00A75FA4" w:rsidRPr="004B77AE" w:rsidRDefault="00A75FA4" w:rsidP="00A75FA4">
            <w:pPr>
              <w:spacing w:line="259" w:lineRule="auto"/>
              <w:rPr>
                <w:rFonts w:cs="Arial"/>
              </w:rPr>
            </w:pPr>
          </w:p>
          <w:p w14:paraId="08333871" w14:textId="09F25771" w:rsidR="0097719E" w:rsidRPr="004B77AE" w:rsidRDefault="009D5912" w:rsidP="0097719E">
            <w:pPr>
              <w:spacing w:line="259" w:lineRule="auto"/>
              <w:rPr>
                <w:rFonts w:cs="Arial"/>
                <w:b/>
                <w:bCs/>
              </w:rPr>
            </w:pPr>
            <w:r w:rsidRPr="004B77AE">
              <w:rPr>
                <w:rFonts w:cs="Arial"/>
                <w:b/>
                <w:bCs/>
              </w:rPr>
              <w:t>‘</w:t>
            </w:r>
            <w:r w:rsidR="0097719E" w:rsidRPr="004B77AE">
              <w:rPr>
                <w:rFonts w:cs="Arial"/>
                <w:b/>
                <w:bCs/>
              </w:rPr>
              <w:t>Getting To Equity</w:t>
            </w:r>
            <w:r w:rsidRPr="004B77AE">
              <w:rPr>
                <w:rFonts w:cs="Arial"/>
                <w:b/>
                <w:bCs/>
              </w:rPr>
              <w:t>’</w:t>
            </w:r>
            <w:r w:rsidR="0097719E" w:rsidRPr="004B77AE">
              <w:rPr>
                <w:rFonts w:cs="Arial"/>
                <w:b/>
                <w:bCs/>
              </w:rPr>
              <w:t xml:space="preserve"> Programme</w:t>
            </w:r>
          </w:p>
          <w:p w14:paraId="325B08C5" w14:textId="77777777" w:rsidR="00A21F6E" w:rsidRPr="004B77AE" w:rsidRDefault="00A21F6E" w:rsidP="00A21F6E">
            <w:pPr>
              <w:spacing w:line="259" w:lineRule="auto"/>
              <w:rPr>
                <w:rFonts w:cs="Arial"/>
              </w:rPr>
            </w:pPr>
            <w:r w:rsidRPr="004B77AE">
              <w:rPr>
                <w:rFonts w:cs="Arial"/>
              </w:rPr>
              <w:t>Nottingham and Nottinghamshire ICS were provided with 15 places for Senior Leaders and Executives to attend the programme. Senior Leaders and Executives filled the 15 places, and the Getting to Equity Programme started on 5 October 2023.</w:t>
            </w:r>
          </w:p>
          <w:p w14:paraId="77DE4B50" w14:textId="77777777" w:rsidR="000F4C92" w:rsidRPr="004B77AE" w:rsidRDefault="000F4C92" w:rsidP="00A21F6E">
            <w:pPr>
              <w:spacing w:line="259" w:lineRule="auto"/>
              <w:rPr>
                <w:rFonts w:cs="Arial"/>
              </w:rPr>
            </w:pPr>
          </w:p>
          <w:p w14:paraId="105C4462" w14:textId="32229A70" w:rsidR="0097719E" w:rsidRPr="004B77AE" w:rsidRDefault="00A21F6E" w:rsidP="00A21F6E">
            <w:pPr>
              <w:spacing w:line="259" w:lineRule="auto"/>
              <w:rPr>
                <w:rFonts w:cs="Arial"/>
              </w:rPr>
            </w:pPr>
            <w:r w:rsidRPr="004B77AE">
              <w:rPr>
                <w:rFonts w:cs="Arial"/>
              </w:rPr>
              <w:t>A</w:t>
            </w:r>
            <w:r w:rsidR="00AC6913" w:rsidRPr="004B77AE">
              <w:rPr>
                <w:rFonts w:cs="Arial"/>
              </w:rPr>
              <w:t>ll 15 places were filled but attendance on the programme was challenging for individuals.</w:t>
            </w:r>
          </w:p>
          <w:p w14:paraId="53989A31" w14:textId="77777777" w:rsidR="00880564" w:rsidRPr="004B77AE" w:rsidRDefault="00880564" w:rsidP="00A21F6E">
            <w:pPr>
              <w:spacing w:line="259" w:lineRule="auto"/>
              <w:rPr>
                <w:rFonts w:cs="Arial"/>
              </w:rPr>
            </w:pPr>
          </w:p>
          <w:p w14:paraId="1C99419A" w14:textId="62C49EE2" w:rsidR="00880564" w:rsidRPr="004B77AE" w:rsidRDefault="00CB494F" w:rsidP="00A21F6E">
            <w:pPr>
              <w:spacing w:line="259" w:lineRule="auto"/>
              <w:rPr>
                <w:rFonts w:cs="Arial"/>
              </w:rPr>
            </w:pPr>
            <w:r w:rsidRPr="004B77AE">
              <w:rPr>
                <w:rFonts w:cs="Arial"/>
              </w:rPr>
              <w:t xml:space="preserve">Senior Leaders and Executives </w:t>
            </w:r>
            <w:r w:rsidR="00707A57" w:rsidRPr="004B77AE">
              <w:rPr>
                <w:rFonts w:cs="Arial"/>
              </w:rPr>
              <w:t xml:space="preserve">were committed </w:t>
            </w:r>
            <w:proofErr w:type="gramStart"/>
            <w:r w:rsidR="00707A57" w:rsidRPr="004B77AE">
              <w:rPr>
                <w:rFonts w:cs="Arial"/>
              </w:rPr>
              <w:t>to  the</w:t>
            </w:r>
            <w:proofErr w:type="gramEnd"/>
            <w:r w:rsidR="00707A57" w:rsidRPr="004B77AE">
              <w:rPr>
                <w:rFonts w:cs="Arial"/>
              </w:rPr>
              <w:t xml:space="preserve"> programme and saw</w:t>
            </w:r>
            <w:r w:rsidRPr="004B77AE">
              <w:rPr>
                <w:rFonts w:cs="Arial"/>
              </w:rPr>
              <w:t xml:space="preserve"> potential positive impacts of the programme </w:t>
            </w:r>
            <w:r w:rsidR="00707A57" w:rsidRPr="004B77AE">
              <w:rPr>
                <w:rFonts w:cs="Arial"/>
              </w:rPr>
              <w:t>from the beginning</w:t>
            </w:r>
            <w:r w:rsidRPr="004B77AE">
              <w:rPr>
                <w:rFonts w:cs="Arial"/>
              </w:rPr>
              <w:t xml:space="preserve"> This demonstrated early commitment to the programme. </w:t>
            </w:r>
            <w:r w:rsidR="00707A57" w:rsidRPr="004B77AE">
              <w:rPr>
                <w:rFonts w:cs="Arial"/>
              </w:rPr>
              <w:t xml:space="preserve">Unfortunately, operational pressures impacted the attendance of the </w:t>
            </w:r>
            <w:r w:rsidR="00707A57" w:rsidRPr="004B77AE">
              <w:rPr>
                <w:rFonts w:cs="Arial"/>
              </w:rPr>
              <w:lastRenderedPageBreak/>
              <w:t xml:space="preserve">senior leaders on the programme. </w:t>
            </w:r>
            <w:r w:rsidR="0039090D" w:rsidRPr="004B77AE">
              <w:rPr>
                <w:rFonts w:cs="Arial"/>
              </w:rPr>
              <w:t xml:space="preserve">We are continuing to work with NHS England to re-launch the programme and assist Senior Leaders with their competing priorities. </w:t>
            </w:r>
          </w:p>
          <w:p w14:paraId="2B859F84" w14:textId="77777777" w:rsidR="0097719E" w:rsidRPr="004B77AE" w:rsidRDefault="0097719E" w:rsidP="0097719E">
            <w:pPr>
              <w:spacing w:line="259" w:lineRule="auto"/>
              <w:rPr>
                <w:rFonts w:cs="Arial"/>
              </w:rPr>
            </w:pPr>
          </w:p>
          <w:p w14:paraId="33CBB22A" w14:textId="77777777" w:rsidR="0097719E" w:rsidRPr="004B77AE" w:rsidRDefault="0097719E" w:rsidP="0097719E">
            <w:pPr>
              <w:spacing w:line="259" w:lineRule="auto"/>
              <w:rPr>
                <w:rFonts w:cs="Arial"/>
              </w:rPr>
            </w:pPr>
            <w:r w:rsidRPr="004B77AE">
              <w:rPr>
                <w:rFonts w:cs="Arial"/>
                <w:b/>
                <w:bCs/>
              </w:rPr>
              <w:t>EDI Staff Networks</w:t>
            </w:r>
          </w:p>
          <w:p w14:paraId="74295F89" w14:textId="0AEA18C6" w:rsidR="0097719E" w:rsidRPr="004B77AE" w:rsidRDefault="0097719E" w:rsidP="0097719E">
            <w:pPr>
              <w:spacing w:line="259" w:lineRule="auto"/>
              <w:rPr>
                <w:rFonts w:cs="Arial"/>
              </w:rPr>
            </w:pPr>
            <w:r w:rsidRPr="004B77AE">
              <w:rPr>
                <w:rFonts w:cs="Arial"/>
              </w:rPr>
              <w:t>Each Network (DAWN, LGBTQ+, and RACE) have an identified Executive Sponsor. DAWN’s is the Medical Director, LGBTQ+ is the Chief Nurse, and RACE’s is the Finance Director/ Deputy Chief Exec.</w:t>
            </w:r>
          </w:p>
          <w:p w14:paraId="1913A8CB" w14:textId="77777777" w:rsidR="0097719E" w:rsidRPr="004B77AE" w:rsidRDefault="0097719E" w:rsidP="0097719E">
            <w:pPr>
              <w:spacing w:line="259" w:lineRule="auto"/>
              <w:rPr>
                <w:rFonts w:cs="Arial"/>
              </w:rPr>
            </w:pPr>
          </w:p>
          <w:p w14:paraId="757447E8" w14:textId="35E1D4A8" w:rsidR="0097719E" w:rsidRPr="004B77AE" w:rsidRDefault="0097719E" w:rsidP="0097719E">
            <w:pPr>
              <w:spacing w:line="259" w:lineRule="auto"/>
              <w:rPr>
                <w:rFonts w:cs="Arial"/>
              </w:rPr>
            </w:pPr>
            <w:r w:rsidRPr="004B77AE">
              <w:rPr>
                <w:rFonts w:cs="Arial"/>
              </w:rPr>
              <w:t xml:space="preserve">There is a mixed approach from the Exec Sponsors around engagement with Networks. DAWN Chair meets with the Exec Sponsor every four to six weeks and </w:t>
            </w:r>
            <w:r w:rsidR="00441D60" w:rsidRPr="004B77AE">
              <w:rPr>
                <w:rFonts w:cs="Arial"/>
              </w:rPr>
              <w:t xml:space="preserve">they </w:t>
            </w:r>
            <w:r w:rsidRPr="004B77AE">
              <w:rPr>
                <w:rFonts w:cs="Arial"/>
              </w:rPr>
              <w:t xml:space="preserve">regularly </w:t>
            </w:r>
            <w:proofErr w:type="gramStart"/>
            <w:r w:rsidRPr="004B77AE">
              <w:rPr>
                <w:rFonts w:cs="Arial"/>
              </w:rPr>
              <w:t>attends</w:t>
            </w:r>
            <w:proofErr w:type="gramEnd"/>
            <w:r w:rsidRPr="004B77AE">
              <w:rPr>
                <w:rFonts w:cs="Arial"/>
              </w:rPr>
              <w:t xml:space="preserve"> DAWN meetings.</w:t>
            </w:r>
          </w:p>
          <w:p w14:paraId="096FC441" w14:textId="77777777" w:rsidR="0097719E" w:rsidRPr="004B77AE" w:rsidRDefault="0097719E" w:rsidP="0097719E">
            <w:pPr>
              <w:spacing w:line="259" w:lineRule="auto"/>
              <w:rPr>
                <w:rFonts w:cs="Arial"/>
              </w:rPr>
            </w:pPr>
          </w:p>
          <w:p w14:paraId="24287088" w14:textId="77777777" w:rsidR="0097719E" w:rsidRPr="004B77AE" w:rsidRDefault="0097719E" w:rsidP="0097719E">
            <w:pPr>
              <w:spacing w:line="259" w:lineRule="auto"/>
              <w:rPr>
                <w:rFonts w:cs="Arial"/>
              </w:rPr>
            </w:pPr>
            <w:r w:rsidRPr="004B77AE">
              <w:rPr>
                <w:rFonts w:cs="Arial"/>
              </w:rPr>
              <w:t>LGBTQ+ Network Exec Sponsor attends the Network when asked. This is an agreement with the Network and works well.</w:t>
            </w:r>
          </w:p>
          <w:p w14:paraId="5177B7FE" w14:textId="77777777" w:rsidR="0097719E" w:rsidRPr="004B77AE" w:rsidRDefault="0097719E" w:rsidP="0097719E">
            <w:pPr>
              <w:spacing w:line="259" w:lineRule="auto"/>
              <w:rPr>
                <w:rFonts w:cs="Arial"/>
              </w:rPr>
            </w:pPr>
          </w:p>
          <w:p w14:paraId="26298258" w14:textId="446AB4AD" w:rsidR="0097719E" w:rsidRPr="004B77AE" w:rsidRDefault="0097719E" w:rsidP="0097719E">
            <w:pPr>
              <w:spacing w:line="259" w:lineRule="auto"/>
              <w:rPr>
                <w:rFonts w:cs="Arial"/>
              </w:rPr>
            </w:pPr>
            <w:r w:rsidRPr="004B77AE">
              <w:rPr>
                <w:rFonts w:cs="Arial"/>
              </w:rPr>
              <w:t xml:space="preserve">The Exec Sponsor for the Race </w:t>
            </w:r>
            <w:proofErr w:type="gramStart"/>
            <w:r w:rsidRPr="004B77AE">
              <w:rPr>
                <w:rFonts w:cs="Arial"/>
              </w:rPr>
              <w:t>And</w:t>
            </w:r>
            <w:proofErr w:type="gramEnd"/>
            <w:r w:rsidRPr="004B77AE">
              <w:rPr>
                <w:rFonts w:cs="Arial"/>
              </w:rPr>
              <w:t xml:space="preserve"> Culture Equality (RACE) Network is less visible</w:t>
            </w:r>
            <w:r w:rsidR="00504F4B" w:rsidRPr="004B77AE">
              <w:rPr>
                <w:rFonts w:cs="Arial"/>
              </w:rPr>
              <w:t xml:space="preserve"> around race, ethnicity, and cultural inclusion</w:t>
            </w:r>
            <w:r w:rsidRPr="004B77AE">
              <w:rPr>
                <w:rFonts w:cs="Arial"/>
              </w:rPr>
              <w:t>, with limited input and support around the Network and its development and embedding within the ICB.</w:t>
            </w:r>
          </w:p>
          <w:p w14:paraId="4A1887A3" w14:textId="77777777" w:rsidR="0097719E" w:rsidRPr="004B77AE" w:rsidRDefault="0097719E" w:rsidP="0097719E">
            <w:pPr>
              <w:spacing w:line="259" w:lineRule="auto"/>
              <w:rPr>
                <w:rFonts w:cs="Arial"/>
              </w:rPr>
            </w:pPr>
          </w:p>
          <w:p w14:paraId="7C262B78" w14:textId="77777777" w:rsidR="0097719E" w:rsidRPr="004B77AE" w:rsidRDefault="0097719E" w:rsidP="0097719E">
            <w:pPr>
              <w:spacing w:line="259" w:lineRule="auto"/>
              <w:rPr>
                <w:rFonts w:cs="Arial"/>
              </w:rPr>
            </w:pPr>
            <w:r w:rsidRPr="004B77AE">
              <w:rPr>
                <w:rFonts w:cs="Arial"/>
              </w:rPr>
              <w:t>The Chief Nurse is also the SRO for EDI within the ICB and meets monthly with the Network Chairs, SEG Chair, and Head of EDI to hear the good work and the areas for improvement.</w:t>
            </w:r>
          </w:p>
          <w:p w14:paraId="0BC1DB61" w14:textId="77777777" w:rsidR="0097719E" w:rsidRPr="004B77AE" w:rsidRDefault="0097719E" w:rsidP="0097719E">
            <w:pPr>
              <w:spacing w:line="259" w:lineRule="auto"/>
              <w:rPr>
                <w:rFonts w:cs="Arial"/>
              </w:rPr>
            </w:pPr>
          </w:p>
          <w:p w14:paraId="4A8A636D" w14:textId="77777777" w:rsidR="0097719E" w:rsidRPr="004B77AE" w:rsidRDefault="0097719E" w:rsidP="0097719E">
            <w:pPr>
              <w:spacing w:line="259" w:lineRule="auto"/>
              <w:rPr>
                <w:rFonts w:cs="Arial"/>
              </w:rPr>
            </w:pPr>
            <w:r w:rsidRPr="004B77AE">
              <w:rPr>
                <w:rFonts w:cs="Arial"/>
                <w:b/>
                <w:bCs/>
              </w:rPr>
              <w:t>Engagement in Activities</w:t>
            </w:r>
          </w:p>
          <w:p w14:paraId="0B8E2A25" w14:textId="568BE150" w:rsidR="0097719E" w:rsidRPr="004B77AE" w:rsidRDefault="0097719E" w:rsidP="0097719E">
            <w:pPr>
              <w:spacing w:line="259" w:lineRule="auto"/>
              <w:rPr>
                <w:rFonts w:cs="Arial"/>
              </w:rPr>
            </w:pPr>
            <w:r w:rsidRPr="004B77AE">
              <w:rPr>
                <w:rFonts w:cs="Arial"/>
              </w:rPr>
              <w:lastRenderedPageBreak/>
              <w:t xml:space="preserve">Over the last year, there has been limited </w:t>
            </w:r>
            <w:r w:rsidR="0039090D" w:rsidRPr="004B77AE">
              <w:rPr>
                <w:rFonts w:cs="Arial"/>
              </w:rPr>
              <w:t xml:space="preserve">opportunity for senior leaders to lead and/or participate in </w:t>
            </w:r>
            <w:r w:rsidRPr="004B77AE">
              <w:rPr>
                <w:rFonts w:cs="Arial"/>
              </w:rPr>
              <w:t xml:space="preserve">engagement </w:t>
            </w:r>
            <w:r w:rsidR="0039090D" w:rsidRPr="004B77AE">
              <w:rPr>
                <w:rFonts w:cs="Arial"/>
              </w:rPr>
              <w:t xml:space="preserve">and/or </w:t>
            </w:r>
            <w:r w:rsidRPr="004B77AE">
              <w:rPr>
                <w:rFonts w:cs="Arial"/>
              </w:rPr>
              <w:t xml:space="preserve">awareness events </w:t>
            </w:r>
            <w:r w:rsidR="0039090D" w:rsidRPr="004B77AE">
              <w:rPr>
                <w:rFonts w:cs="Arial"/>
              </w:rPr>
              <w:t xml:space="preserve">for these communities. </w:t>
            </w:r>
          </w:p>
          <w:p w14:paraId="14A8E202" w14:textId="77777777" w:rsidR="0097719E" w:rsidRPr="004B77AE" w:rsidRDefault="0097719E" w:rsidP="0097719E">
            <w:pPr>
              <w:spacing w:line="259" w:lineRule="auto"/>
              <w:rPr>
                <w:rFonts w:cs="Arial"/>
              </w:rPr>
            </w:pPr>
          </w:p>
          <w:p w14:paraId="31E74222" w14:textId="2C6BFE3A" w:rsidR="0097719E" w:rsidRPr="004B77AE" w:rsidRDefault="0097719E" w:rsidP="0097719E">
            <w:pPr>
              <w:spacing w:line="259" w:lineRule="auto"/>
              <w:rPr>
                <w:rFonts w:cs="Arial"/>
              </w:rPr>
            </w:pPr>
            <w:r w:rsidRPr="004B77AE">
              <w:rPr>
                <w:rFonts w:cs="Arial"/>
              </w:rPr>
              <w:t>Throughout the year multiple awareness events have been promoted and undertaken</w:t>
            </w:r>
            <w:r w:rsidR="0039090D" w:rsidRPr="004B77AE">
              <w:rPr>
                <w:rFonts w:cs="Arial"/>
              </w:rPr>
              <w:t>.</w:t>
            </w:r>
            <w:r w:rsidRPr="004B77AE">
              <w:rPr>
                <w:rFonts w:cs="Arial"/>
              </w:rPr>
              <w:t xml:space="preserve"> These have included sessions linked to World AIDS Day, sessions linked to Black History Month, and sessions on neurodiversity.</w:t>
            </w:r>
          </w:p>
          <w:p w14:paraId="633F2641" w14:textId="77777777" w:rsidR="0097719E" w:rsidRPr="004B77AE" w:rsidRDefault="0097719E" w:rsidP="0097719E">
            <w:pPr>
              <w:spacing w:line="259" w:lineRule="auto"/>
              <w:rPr>
                <w:rFonts w:cs="Arial"/>
              </w:rPr>
            </w:pPr>
          </w:p>
          <w:p w14:paraId="2A5868AD" w14:textId="789C5210" w:rsidR="0097719E" w:rsidRPr="004B77AE" w:rsidRDefault="0097719E" w:rsidP="0097719E">
            <w:pPr>
              <w:spacing w:line="259" w:lineRule="auto"/>
              <w:rPr>
                <w:rFonts w:cs="Arial"/>
              </w:rPr>
            </w:pPr>
            <w:r w:rsidRPr="004B77AE">
              <w:rPr>
                <w:rFonts w:cs="Arial"/>
              </w:rPr>
              <w:t>Whilst verbal support and appreciation are forthcoming from senior leaders, active allyship and overt action are</w:t>
            </w:r>
            <w:r w:rsidR="009F03B8" w:rsidRPr="004B77AE">
              <w:rPr>
                <w:rFonts w:cs="Arial"/>
              </w:rPr>
              <w:t xml:space="preserve"> often</w:t>
            </w:r>
            <w:r w:rsidRPr="004B77AE">
              <w:rPr>
                <w:rFonts w:cs="Arial"/>
              </w:rPr>
              <w:t xml:space="preserve"> limited.</w:t>
            </w:r>
          </w:p>
          <w:p w14:paraId="6C49453D" w14:textId="77777777" w:rsidR="0097719E" w:rsidRPr="004B77AE" w:rsidRDefault="0097719E" w:rsidP="0097719E">
            <w:pPr>
              <w:spacing w:line="259" w:lineRule="auto"/>
              <w:rPr>
                <w:rFonts w:cs="Arial"/>
              </w:rPr>
            </w:pPr>
          </w:p>
          <w:p w14:paraId="44A4298A" w14:textId="77777777" w:rsidR="0097719E" w:rsidRPr="004B77AE" w:rsidRDefault="0097719E" w:rsidP="0097719E">
            <w:pPr>
              <w:spacing w:line="259" w:lineRule="auto"/>
              <w:rPr>
                <w:rFonts w:cs="Arial"/>
              </w:rPr>
            </w:pPr>
            <w:r w:rsidRPr="004B77AE">
              <w:rPr>
                <w:rFonts w:cs="Arial"/>
                <w:b/>
                <w:bCs/>
              </w:rPr>
              <w:t>Maturity Matrix for Race Inclusion</w:t>
            </w:r>
          </w:p>
          <w:p w14:paraId="61D20E36" w14:textId="77777777" w:rsidR="0097719E" w:rsidRPr="004B77AE" w:rsidRDefault="0097719E" w:rsidP="0097719E">
            <w:pPr>
              <w:spacing w:line="259" w:lineRule="auto"/>
              <w:rPr>
                <w:rFonts w:cs="Arial"/>
              </w:rPr>
            </w:pPr>
            <w:r w:rsidRPr="004B77AE">
              <w:rPr>
                <w:rFonts w:cs="Arial"/>
              </w:rPr>
              <w:t xml:space="preserve">The ICB’s Board has committed to the implementation of the Maturity Matrix, a locally coproduced framework for providers to assess their position in relation to race inclusion and tackling race-related inequities. The ICB has committed to assess itself using the Maturity Matrix </w:t>
            </w:r>
            <w:proofErr w:type="gramStart"/>
            <w:r w:rsidRPr="004B77AE">
              <w:rPr>
                <w:rFonts w:cs="Arial"/>
              </w:rPr>
              <w:t>in the near future</w:t>
            </w:r>
            <w:proofErr w:type="gramEnd"/>
            <w:r w:rsidRPr="004B77AE">
              <w:rPr>
                <w:rFonts w:cs="Arial"/>
              </w:rPr>
              <w:t>.</w:t>
            </w:r>
          </w:p>
          <w:p w14:paraId="3F379549" w14:textId="77777777" w:rsidR="0097719E" w:rsidRPr="004B77AE" w:rsidRDefault="0097719E" w:rsidP="0097719E">
            <w:pPr>
              <w:spacing w:line="259" w:lineRule="auto"/>
              <w:rPr>
                <w:rFonts w:cs="Arial"/>
              </w:rPr>
            </w:pPr>
          </w:p>
          <w:p w14:paraId="4AA51D6F" w14:textId="77777777" w:rsidR="0097719E" w:rsidRPr="004B77AE" w:rsidRDefault="0097719E" w:rsidP="0097719E">
            <w:pPr>
              <w:spacing w:line="259" w:lineRule="auto"/>
              <w:rPr>
                <w:rFonts w:cs="Arial"/>
              </w:rPr>
            </w:pPr>
            <w:r w:rsidRPr="004B77AE">
              <w:rPr>
                <w:rFonts w:cs="Arial"/>
                <w:b/>
                <w:bCs/>
              </w:rPr>
              <w:t>Expectations of Line Managers in relation to People Management</w:t>
            </w:r>
          </w:p>
          <w:p w14:paraId="32CF30CE" w14:textId="77777777" w:rsidR="0097719E" w:rsidRPr="004B77AE" w:rsidRDefault="0097719E" w:rsidP="0097719E">
            <w:pPr>
              <w:spacing w:line="259" w:lineRule="auto"/>
              <w:rPr>
                <w:rFonts w:cs="Arial"/>
              </w:rPr>
            </w:pPr>
            <w:r w:rsidRPr="004B77AE">
              <w:rPr>
                <w:rFonts w:cs="Arial"/>
              </w:rPr>
              <w:t>An NHS England framework has been produced setting out the expectations of all line managers within the NHS around people management. The framework contains a specific section on EDI, and inclusion, values, and behaviours are key themes throughout the framework. Work will begin in early 2024 to embed the new framework and ensure line managers are equipped with the skills and knowledge needed to support their teams.</w:t>
            </w:r>
          </w:p>
          <w:p w14:paraId="141909A8" w14:textId="77777777" w:rsidR="0097719E" w:rsidRPr="004B77AE" w:rsidRDefault="0097719E" w:rsidP="0097719E">
            <w:pPr>
              <w:spacing w:line="259" w:lineRule="auto"/>
              <w:rPr>
                <w:rFonts w:cs="Arial"/>
              </w:rPr>
            </w:pPr>
          </w:p>
          <w:p w14:paraId="4CE227E4" w14:textId="05EC0510" w:rsidR="0097719E" w:rsidRPr="004B77AE" w:rsidRDefault="0097719E" w:rsidP="0097719E">
            <w:pPr>
              <w:spacing w:line="259" w:lineRule="auto"/>
              <w:rPr>
                <w:rFonts w:cs="Arial"/>
              </w:rPr>
            </w:pPr>
            <w:r w:rsidRPr="004B77AE">
              <w:rPr>
                <w:rFonts w:cs="Arial"/>
                <w:b/>
                <w:bCs/>
              </w:rPr>
              <w:t>Equality, Quality, and health Inequality impact Assessments (EQIAs)</w:t>
            </w:r>
          </w:p>
          <w:p w14:paraId="07F1C7D9" w14:textId="77777777" w:rsidR="003B0C68" w:rsidRPr="004B77AE" w:rsidRDefault="0097719E" w:rsidP="0097719E">
            <w:pPr>
              <w:spacing w:line="259" w:lineRule="auto"/>
              <w:rPr>
                <w:rFonts w:cs="Arial"/>
              </w:rPr>
            </w:pPr>
            <w:r w:rsidRPr="004B77AE">
              <w:rPr>
                <w:rFonts w:cs="Arial"/>
              </w:rPr>
              <w:t>The</w:t>
            </w:r>
            <w:r w:rsidR="0039090D" w:rsidRPr="004B77AE">
              <w:rPr>
                <w:rFonts w:cs="Arial"/>
              </w:rPr>
              <w:t xml:space="preserve"> EQIA processes have been redesigned and relaunched in the ICB during 2023/24. We are presently reviewing the impact of EQIA’s both on the service and </w:t>
            </w:r>
            <w:r w:rsidR="003B0C68" w:rsidRPr="004B77AE">
              <w:rPr>
                <w:rFonts w:cs="Arial"/>
              </w:rPr>
              <w:t>the staff completing them and this is due to conclude in Q1 2024/25.</w:t>
            </w:r>
          </w:p>
          <w:p w14:paraId="1E53177A" w14:textId="77777777" w:rsidR="003B0C68" w:rsidRPr="004B77AE" w:rsidRDefault="003B0C68" w:rsidP="0097719E">
            <w:pPr>
              <w:spacing w:line="259" w:lineRule="auto"/>
              <w:rPr>
                <w:rFonts w:cs="Arial"/>
              </w:rPr>
            </w:pPr>
          </w:p>
          <w:p w14:paraId="4164FE52" w14:textId="26B9A1A1" w:rsidR="0097719E" w:rsidRPr="004B77AE" w:rsidRDefault="0039090D" w:rsidP="0097719E">
            <w:pPr>
              <w:spacing w:line="259" w:lineRule="auto"/>
              <w:rPr>
                <w:rFonts w:cs="Arial"/>
              </w:rPr>
            </w:pPr>
            <w:r w:rsidRPr="004B77AE">
              <w:rPr>
                <w:rFonts w:cs="Arial"/>
              </w:rPr>
              <w:t>The</w:t>
            </w:r>
            <w:r w:rsidR="0097719E" w:rsidRPr="004B77AE">
              <w:rPr>
                <w:rFonts w:cs="Arial"/>
              </w:rPr>
              <w:t xml:space="preserve">re is </w:t>
            </w:r>
            <w:r w:rsidRPr="004B77AE">
              <w:rPr>
                <w:rFonts w:cs="Arial"/>
              </w:rPr>
              <w:t xml:space="preserve">currently </w:t>
            </w:r>
            <w:r w:rsidR="0097719E" w:rsidRPr="004B77AE">
              <w:rPr>
                <w:rFonts w:cs="Arial"/>
              </w:rPr>
              <w:t xml:space="preserve">mixed confidence and competence in the completion of EQIAs, and </w:t>
            </w:r>
            <w:r w:rsidR="003B0C68" w:rsidRPr="004B77AE">
              <w:rPr>
                <w:rFonts w:cs="Arial"/>
              </w:rPr>
              <w:t xml:space="preserve">ongoing engagement is needed to aid </w:t>
            </w:r>
            <w:r w:rsidR="009D6F35" w:rsidRPr="004B77AE">
              <w:rPr>
                <w:rFonts w:cs="Arial"/>
              </w:rPr>
              <w:t>understanding</w:t>
            </w:r>
            <w:r w:rsidR="0097719E" w:rsidRPr="004B77AE">
              <w:rPr>
                <w:rFonts w:cs="Arial"/>
              </w:rPr>
              <w:t xml:space="preserve"> of why they are done in </w:t>
            </w:r>
            <w:r w:rsidR="003B0C68" w:rsidRPr="004B77AE">
              <w:rPr>
                <w:rFonts w:cs="Arial"/>
              </w:rPr>
              <w:t xml:space="preserve">order </w:t>
            </w:r>
            <w:r w:rsidR="0097719E" w:rsidRPr="004B77AE">
              <w:rPr>
                <w:rFonts w:cs="Arial"/>
              </w:rPr>
              <w:t>support</w:t>
            </w:r>
            <w:r w:rsidR="003B0C68" w:rsidRPr="004B77AE">
              <w:rPr>
                <w:rFonts w:cs="Arial"/>
              </w:rPr>
              <w:t xml:space="preserve"> the </w:t>
            </w:r>
            <w:r w:rsidR="0097719E" w:rsidRPr="004B77AE">
              <w:rPr>
                <w:rFonts w:cs="Arial"/>
              </w:rPr>
              <w:t>teams complet</w:t>
            </w:r>
            <w:r w:rsidR="003B0C68" w:rsidRPr="004B77AE">
              <w:rPr>
                <w:rFonts w:cs="Arial"/>
              </w:rPr>
              <w:t>ing</w:t>
            </w:r>
            <w:r w:rsidR="0097719E" w:rsidRPr="004B77AE">
              <w:rPr>
                <w:rFonts w:cs="Arial"/>
              </w:rPr>
              <w:t xml:space="preserve"> them. </w:t>
            </w:r>
          </w:p>
          <w:p w14:paraId="3078728E" w14:textId="77777777" w:rsidR="0097719E" w:rsidRPr="004B77AE" w:rsidRDefault="0097719E" w:rsidP="0097719E">
            <w:pPr>
              <w:spacing w:line="259" w:lineRule="auto"/>
              <w:rPr>
                <w:rFonts w:cs="Arial"/>
              </w:rPr>
            </w:pPr>
          </w:p>
          <w:p w14:paraId="7700089E" w14:textId="01D3D014" w:rsidR="0097719E" w:rsidRPr="004B77AE" w:rsidRDefault="0097719E" w:rsidP="0097719E">
            <w:pPr>
              <w:spacing w:line="259" w:lineRule="auto"/>
              <w:rPr>
                <w:rFonts w:cs="Arial"/>
              </w:rPr>
            </w:pPr>
            <w:r w:rsidRPr="004B77AE">
              <w:rPr>
                <w:rFonts w:cs="Arial"/>
              </w:rPr>
              <w:t>Consistency around the standard of EQIA completion is variable, and further work needs to be done to support teams and individuals in how and when to complete an EQIA or EIA.</w:t>
            </w:r>
          </w:p>
        </w:tc>
        <w:tc>
          <w:tcPr>
            <w:tcW w:w="1550" w:type="dxa"/>
            <w:gridSpan w:val="2"/>
            <w:shd w:val="clear" w:color="auto" w:fill="B3E1F5" w:themeFill="accent4" w:themeFillTint="66"/>
            <w:vAlign w:val="center"/>
          </w:tcPr>
          <w:p w14:paraId="3C866845" w14:textId="77777777" w:rsidR="0097719E" w:rsidRPr="004B77AE" w:rsidRDefault="0097719E" w:rsidP="0097719E">
            <w:pPr>
              <w:pStyle w:val="TableText"/>
              <w:jc w:val="center"/>
              <w:rPr>
                <w:rFonts w:cs="Arial"/>
                <w:b/>
                <w:bCs/>
                <w:sz w:val="36"/>
                <w:szCs w:val="36"/>
              </w:rPr>
            </w:pPr>
            <w:r w:rsidRPr="004B77AE">
              <w:rPr>
                <w:rFonts w:cs="Arial"/>
                <w:b/>
                <w:bCs/>
                <w:sz w:val="36"/>
                <w:szCs w:val="36"/>
              </w:rPr>
              <w:lastRenderedPageBreak/>
              <w:t>1</w:t>
            </w:r>
          </w:p>
          <w:p w14:paraId="575782A5" w14:textId="0B5B00B4" w:rsidR="0097719E" w:rsidRPr="004B77AE" w:rsidRDefault="0097719E" w:rsidP="0097719E">
            <w:pPr>
              <w:spacing w:line="259" w:lineRule="auto"/>
              <w:jc w:val="center"/>
              <w:rPr>
                <w:rFonts w:cs="Arial"/>
              </w:rPr>
            </w:pPr>
            <w:r w:rsidRPr="004B77AE">
              <w:rPr>
                <w:rFonts w:cs="Arial"/>
                <w:b/>
                <w:bCs/>
                <w:sz w:val="20"/>
                <w:szCs w:val="20"/>
              </w:rPr>
              <w:t>Developing</w:t>
            </w:r>
          </w:p>
        </w:tc>
        <w:tc>
          <w:tcPr>
            <w:tcW w:w="2347" w:type="dxa"/>
            <w:gridSpan w:val="2"/>
          </w:tcPr>
          <w:p w14:paraId="682EAAEA" w14:textId="77777777" w:rsidR="0097719E" w:rsidRPr="004B77AE" w:rsidRDefault="0097719E" w:rsidP="0097719E">
            <w:pPr>
              <w:spacing w:line="259" w:lineRule="auto"/>
              <w:rPr>
                <w:rFonts w:cs="Arial"/>
                <w:b/>
                <w:bCs/>
              </w:rPr>
            </w:pPr>
            <w:r w:rsidRPr="004B77AE">
              <w:rPr>
                <w:rFonts w:cs="Arial"/>
                <w:b/>
                <w:bCs/>
              </w:rPr>
              <w:t>Rosa Waddingham</w:t>
            </w:r>
          </w:p>
          <w:p w14:paraId="7E5616BD" w14:textId="6507EA30" w:rsidR="0097719E" w:rsidRPr="004B77AE" w:rsidRDefault="0097719E" w:rsidP="0097719E">
            <w:pPr>
              <w:spacing w:line="259" w:lineRule="auto"/>
              <w:rPr>
                <w:rFonts w:cs="Arial"/>
              </w:rPr>
            </w:pPr>
            <w:r w:rsidRPr="004B77AE">
              <w:rPr>
                <w:rFonts w:cs="Arial"/>
              </w:rPr>
              <w:t>Chief Nurse</w:t>
            </w:r>
            <w:r w:rsidR="00CB494F" w:rsidRPr="004B77AE">
              <w:rPr>
                <w:rFonts w:cs="Arial"/>
              </w:rPr>
              <w:t xml:space="preserve"> and SRO for EDI</w:t>
            </w:r>
          </w:p>
          <w:p w14:paraId="37C998AD" w14:textId="77777777" w:rsidR="0097719E" w:rsidRPr="004B77AE" w:rsidRDefault="0097719E" w:rsidP="0097719E">
            <w:pPr>
              <w:spacing w:line="259" w:lineRule="auto"/>
              <w:rPr>
                <w:rFonts w:cs="Arial"/>
              </w:rPr>
            </w:pPr>
          </w:p>
          <w:p w14:paraId="071C96D0" w14:textId="77777777" w:rsidR="0097719E" w:rsidRPr="004B77AE" w:rsidRDefault="0097719E" w:rsidP="0097719E">
            <w:pPr>
              <w:spacing w:line="259" w:lineRule="auto"/>
              <w:rPr>
                <w:rFonts w:cs="Arial"/>
              </w:rPr>
            </w:pPr>
            <w:r w:rsidRPr="004B77AE">
              <w:rPr>
                <w:rFonts w:cs="Arial"/>
                <w:b/>
                <w:bCs/>
              </w:rPr>
              <w:t>Amanda Sullivan</w:t>
            </w:r>
          </w:p>
          <w:p w14:paraId="533BC77C" w14:textId="390CA0F1" w:rsidR="0097719E" w:rsidRPr="004B77AE" w:rsidRDefault="0097719E" w:rsidP="0097719E">
            <w:pPr>
              <w:spacing w:line="259" w:lineRule="auto"/>
              <w:rPr>
                <w:rFonts w:cs="Arial"/>
              </w:rPr>
            </w:pPr>
            <w:r w:rsidRPr="004B77AE">
              <w:rPr>
                <w:rFonts w:cs="Arial"/>
              </w:rPr>
              <w:t>Chief Executive Officer</w:t>
            </w:r>
          </w:p>
        </w:tc>
      </w:tr>
      <w:tr w:rsidR="00CB494F" w:rsidRPr="004B77AE" w14:paraId="6D340945" w14:textId="77777777" w:rsidTr="0004281F">
        <w:trPr>
          <w:cantSplit/>
          <w:trHeight w:val="1393"/>
        </w:trPr>
        <w:tc>
          <w:tcPr>
            <w:tcW w:w="1370" w:type="dxa"/>
            <w:shd w:val="clear" w:color="auto" w:fill="BDDEFF" w:themeFill="accent1" w:themeFillTint="33"/>
            <w:textDirection w:val="btLr"/>
          </w:tcPr>
          <w:p w14:paraId="566C2E4A" w14:textId="77777777" w:rsidR="00E5230B" w:rsidRPr="004B77AE" w:rsidRDefault="00E5230B" w:rsidP="00E5230B">
            <w:pPr>
              <w:jc w:val="center"/>
              <w:rPr>
                <w:rFonts w:cs="Arial"/>
                <w:b/>
                <w:sz w:val="32"/>
                <w:szCs w:val="32"/>
              </w:rPr>
            </w:pPr>
            <w:r w:rsidRPr="004B77AE">
              <w:rPr>
                <w:rFonts w:cs="Arial"/>
                <w:b/>
                <w:sz w:val="32"/>
                <w:szCs w:val="32"/>
              </w:rPr>
              <w:lastRenderedPageBreak/>
              <w:t>Domain 3:</w:t>
            </w:r>
          </w:p>
          <w:p w14:paraId="0F38A407" w14:textId="77777777" w:rsidR="00E5230B" w:rsidRPr="004B77AE" w:rsidRDefault="00E5230B" w:rsidP="00E5230B">
            <w:pPr>
              <w:jc w:val="center"/>
              <w:rPr>
                <w:rFonts w:cs="Arial"/>
                <w:b/>
                <w:sz w:val="32"/>
                <w:szCs w:val="32"/>
              </w:rPr>
            </w:pPr>
            <w:r w:rsidRPr="004B77AE">
              <w:rPr>
                <w:rFonts w:cs="Arial"/>
                <w:b/>
                <w:sz w:val="32"/>
                <w:szCs w:val="32"/>
              </w:rPr>
              <w:t>Inclusive leadership</w:t>
            </w:r>
          </w:p>
          <w:p w14:paraId="4B2A3D66" w14:textId="77777777" w:rsidR="00CB494F" w:rsidRDefault="00CB494F" w:rsidP="00E5230B">
            <w:pPr>
              <w:spacing w:after="160" w:line="259" w:lineRule="auto"/>
              <w:ind w:left="113" w:right="113"/>
              <w:rPr>
                <w:rFonts w:cs="Arial"/>
              </w:rPr>
            </w:pPr>
          </w:p>
          <w:p w14:paraId="17D30818" w14:textId="77777777" w:rsidR="00E5230B" w:rsidRPr="004B77AE" w:rsidRDefault="00E5230B" w:rsidP="00E5230B">
            <w:pPr>
              <w:spacing w:after="160" w:line="259" w:lineRule="auto"/>
              <w:ind w:left="113" w:right="113"/>
              <w:rPr>
                <w:rFonts w:cs="Arial"/>
              </w:rPr>
            </w:pPr>
          </w:p>
        </w:tc>
        <w:tc>
          <w:tcPr>
            <w:tcW w:w="3834" w:type="dxa"/>
            <w:gridSpan w:val="2"/>
            <w:shd w:val="clear" w:color="auto" w:fill="BDDEFF" w:themeFill="accent1" w:themeFillTint="33"/>
          </w:tcPr>
          <w:p w14:paraId="15EA2F7A" w14:textId="77777777" w:rsidR="00CB494F" w:rsidRPr="004B77AE" w:rsidRDefault="00CB494F" w:rsidP="00CB494F">
            <w:pPr>
              <w:spacing w:line="259" w:lineRule="auto"/>
              <w:rPr>
                <w:rFonts w:cs="Arial"/>
              </w:rPr>
            </w:pPr>
            <w:r w:rsidRPr="004B77AE">
              <w:rPr>
                <w:rFonts w:cs="Arial"/>
              </w:rPr>
              <w:t>3B: Board/Committee papers (including minutes) identify equality and health inequalities related impacts and risks and how they will be mitigated and managed</w:t>
            </w:r>
          </w:p>
        </w:tc>
        <w:tc>
          <w:tcPr>
            <w:tcW w:w="6222" w:type="dxa"/>
            <w:gridSpan w:val="3"/>
          </w:tcPr>
          <w:p w14:paraId="162CFC1A" w14:textId="27C87C12" w:rsidR="00584332" w:rsidRPr="004A3123" w:rsidRDefault="004E540D" w:rsidP="00584332">
            <w:pPr>
              <w:spacing w:line="259" w:lineRule="auto"/>
              <w:rPr>
                <w:rFonts w:cs="Arial"/>
              </w:rPr>
            </w:pPr>
            <w:r w:rsidRPr="004A3123">
              <w:rPr>
                <w:rFonts w:cs="Arial"/>
              </w:rPr>
              <w:t>The ICB is committed to improving health outcomes for our population.</w:t>
            </w:r>
          </w:p>
          <w:p w14:paraId="03D8B785" w14:textId="77777777" w:rsidR="004E540D" w:rsidRPr="004A3123" w:rsidRDefault="004E540D" w:rsidP="00584332">
            <w:pPr>
              <w:spacing w:line="259" w:lineRule="auto"/>
              <w:rPr>
                <w:rFonts w:cs="Arial"/>
              </w:rPr>
            </w:pPr>
          </w:p>
          <w:p w14:paraId="61786D1E" w14:textId="2999DAFD" w:rsidR="004E540D" w:rsidRPr="004A3123" w:rsidRDefault="004E540D" w:rsidP="00584332">
            <w:pPr>
              <w:spacing w:line="259" w:lineRule="auto"/>
              <w:rPr>
                <w:rFonts w:cs="Arial"/>
              </w:rPr>
            </w:pPr>
            <w:r w:rsidRPr="004A3123">
              <w:rPr>
                <w:rFonts w:cs="Arial"/>
              </w:rPr>
              <w:t xml:space="preserve">Papers submitted to the ICB Board or other formal committees must detail how the paper is going to improve health outcomes and take </w:t>
            </w:r>
            <w:proofErr w:type="gramStart"/>
            <w:r w:rsidRPr="004A3123">
              <w:rPr>
                <w:rFonts w:cs="Arial"/>
              </w:rPr>
              <w:t>inequalities  -</w:t>
            </w:r>
            <w:proofErr w:type="gramEnd"/>
            <w:r w:rsidRPr="004A3123">
              <w:rPr>
                <w:rFonts w:cs="Arial"/>
              </w:rPr>
              <w:t xml:space="preserve"> extract below from committee front sheets </w:t>
            </w:r>
            <w:r w:rsidR="002B7F40">
              <w:rPr>
                <w:rFonts w:cs="Arial"/>
              </w:rPr>
              <w:t xml:space="preserve">can be seen in </w:t>
            </w:r>
            <w:r w:rsidR="007C3F63">
              <w:rPr>
                <w:rFonts w:cs="Arial"/>
                <w:shd w:val="clear" w:color="auto" w:fill="92D050"/>
              </w:rPr>
              <w:fldChar w:fldCharType="begin"/>
            </w:r>
            <w:r w:rsidR="007C3F63">
              <w:rPr>
                <w:rFonts w:cs="Arial"/>
              </w:rPr>
              <w:instrText xml:space="preserve"> REF _Ref166834299 \h </w:instrText>
            </w:r>
            <w:r w:rsidR="007C3F63">
              <w:rPr>
                <w:rFonts w:cs="Arial"/>
                <w:shd w:val="clear" w:color="auto" w:fill="92D050"/>
              </w:rPr>
            </w:r>
            <w:r w:rsidR="007C3F63">
              <w:rPr>
                <w:rFonts w:cs="Arial"/>
                <w:shd w:val="clear" w:color="auto" w:fill="92D050"/>
              </w:rPr>
              <w:fldChar w:fldCharType="separate"/>
            </w:r>
            <w:r w:rsidR="007C3F63" w:rsidRPr="002B7F40">
              <w:t>5.</w:t>
            </w:r>
            <w:r w:rsidR="007C3F63">
              <w:t>2</w:t>
            </w:r>
            <w:r w:rsidR="007C3F63">
              <w:tab/>
            </w:r>
            <w:r w:rsidR="007C3F63" w:rsidRPr="002B7F40">
              <w:t xml:space="preserve"> Domain </w:t>
            </w:r>
            <w:r w:rsidR="007C3F63">
              <w:t>3</w:t>
            </w:r>
            <w:r w:rsidR="007C3F63" w:rsidRPr="002B7F40">
              <w:t xml:space="preserve">: </w:t>
            </w:r>
            <w:r w:rsidR="007C3F63">
              <w:t>Inclusive leadership</w:t>
            </w:r>
            <w:r w:rsidR="007C3F63">
              <w:rPr>
                <w:rFonts w:cs="Arial"/>
                <w:shd w:val="clear" w:color="auto" w:fill="92D050"/>
              </w:rPr>
              <w:fldChar w:fldCharType="end"/>
            </w:r>
          </w:p>
          <w:p w14:paraId="0BD509E9" w14:textId="77777777" w:rsidR="004E540D" w:rsidRPr="004A3123" w:rsidRDefault="004E540D" w:rsidP="00584332">
            <w:pPr>
              <w:spacing w:line="259" w:lineRule="auto"/>
              <w:rPr>
                <w:rFonts w:cs="Arial"/>
              </w:rPr>
            </w:pPr>
          </w:p>
          <w:p w14:paraId="763DF2C7" w14:textId="4C245F94" w:rsidR="004E540D" w:rsidRPr="004A3123" w:rsidRDefault="004E540D" w:rsidP="00584332">
            <w:pPr>
              <w:spacing w:line="259" w:lineRule="auto"/>
              <w:rPr>
                <w:rFonts w:cs="Arial"/>
              </w:rPr>
            </w:pPr>
            <w:r w:rsidRPr="004A3123">
              <w:rPr>
                <w:rFonts w:cs="Arial"/>
              </w:rPr>
              <w:t xml:space="preserve">The ICB has developed a number of Equality </w:t>
            </w:r>
            <w:hyperlink r:id="rId21" w:history="1">
              <w:r w:rsidRPr="004A3123">
                <w:rPr>
                  <w:rStyle w:val="Hyperlink"/>
                  <w:rFonts w:cs="Arial"/>
                </w:rPr>
                <w:t>Objectives</w:t>
              </w:r>
            </w:hyperlink>
            <w:r w:rsidR="00032F6F" w:rsidRPr="004A3123">
              <w:rPr>
                <w:rFonts w:cs="Arial"/>
              </w:rPr>
              <w:t xml:space="preserve"> </w:t>
            </w:r>
            <w:r w:rsidRPr="004A3123">
              <w:rPr>
                <w:rFonts w:cs="Arial"/>
              </w:rPr>
              <w:t xml:space="preserve"> that are monitored via the EIHR</w:t>
            </w:r>
            <w:r w:rsidR="00032F6F" w:rsidRPr="004A3123">
              <w:rPr>
                <w:rFonts w:cs="Arial"/>
              </w:rPr>
              <w:t xml:space="preserve"> Steering Group in order to aid in the improvement of health outcomes and health inequalities, monitor and mitigate and manage risks </w:t>
            </w:r>
          </w:p>
          <w:p w14:paraId="7CEC98DC" w14:textId="6460C7C8" w:rsidR="00032F6F" w:rsidRPr="004A3123" w:rsidRDefault="00032F6F" w:rsidP="00584332">
            <w:pPr>
              <w:spacing w:line="259" w:lineRule="auto"/>
              <w:rPr>
                <w:rFonts w:cs="Arial"/>
              </w:rPr>
            </w:pPr>
            <w:r w:rsidRPr="004A3123">
              <w:rPr>
                <w:rFonts w:cs="Arial"/>
              </w:rPr>
              <w:br/>
              <w:t xml:space="preserve">The ICB has </w:t>
            </w:r>
            <w:proofErr w:type="gramStart"/>
            <w:r w:rsidRPr="004A3123">
              <w:rPr>
                <w:rFonts w:cs="Arial"/>
              </w:rPr>
              <w:t>a number of</w:t>
            </w:r>
            <w:proofErr w:type="gramEnd"/>
            <w:r w:rsidRPr="004A3123">
              <w:rPr>
                <w:rFonts w:cs="Arial"/>
              </w:rPr>
              <w:t xml:space="preserve"> mechanisms to monitor equality and diversity and health inequalities outcomes and any risks and mitigations that include but are not limited to the list below: </w:t>
            </w:r>
          </w:p>
          <w:p w14:paraId="747ACB5D" w14:textId="5016CFC1" w:rsidR="00CB494F" w:rsidRPr="004A3123" w:rsidRDefault="00CB494F" w:rsidP="00441BD5">
            <w:pPr>
              <w:pStyle w:val="ListParagraph"/>
              <w:numPr>
                <w:ilvl w:val="0"/>
                <w:numId w:val="10"/>
              </w:numPr>
              <w:spacing w:line="259" w:lineRule="auto"/>
              <w:rPr>
                <w:rFonts w:cs="Arial"/>
              </w:rPr>
            </w:pPr>
            <w:r w:rsidRPr="004A3123">
              <w:rPr>
                <w:rFonts w:cs="Arial"/>
              </w:rPr>
              <w:t>EDI Discussions: Q&amp;P Committee, HR Sub Committee, EIHRSG, Exec., etc. meetings.</w:t>
            </w:r>
          </w:p>
          <w:p w14:paraId="0693962B" w14:textId="5BEE433B" w:rsidR="00CB494F" w:rsidRPr="004A3123" w:rsidRDefault="00CB494F" w:rsidP="00441BD5">
            <w:pPr>
              <w:pStyle w:val="ListParagraph"/>
              <w:numPr>
                <w:ilvl w:val="0"/>
                <w:numId w:val="10"/>
              </w:numPr>
              <w:spacing w:line="259" w:lineRule="auto"/>
              <w:rPr>
                <w:rFonts w:cs="Arial"/>
              </w:rPr>
            </w:pPr>
            <w:r w:rsidRPr="004A3123">
              <w:rPr>
                <w:rFonts w:cs="Arial"/>
              </w:rPr>
              <w:t>EQIAs: Completed and reviewed at the Deputy Director level.</w:t>
            </w:r>
          </w:p>
          <w:p w14:paraId="4E03804E" w14:textId="32AEF92D" w:rsidR="00CB494F" w:rsidRPr="004A3123" w:rsidRDefault="00CB494F" w:rsidP="00441BD5">
            <w:pPr>
              <w:pStyle w:val="ListParagraph"/>
              <w:numPr>
                <w:ilvl w:val="0"/>
                <w:numId w:val="10"/>
              </w:numPr>
              <w:spacing w:line="259" w:lineRule="auto"/>
              <w:rPr>
                <w:rFonts w:cs="Arial"/>
              </w:rPr>
            </w:pPr>
            <w:r w:rsidRPr="004A3123">
              <w:rPr>
                <w:rFonts w:cs="Arial"/>
              </w:rPr>
              <w:t>Actions: Measured and monitored through HRSG, EIHRSG, and Q&amp;P Committee.</w:t>
            </w:r>
          </w:p>
          <w:p w14:paraId="20E729CC" w14:textId="127541F9" w:rsidR="00CB494F" w:rsidRPr="004A3123" w:rsidRDefault="00CB494F" w:rsidP="00441BD5">
            <w:pPr>
              <w:pStyle w:val="ListParagraph"/>
              <w:numPr>
                <w:ilvl w:val="0"/>
                <w:numId w:val="10"/>
              </w:numPr>
              <w:spacing w:line="259" w:lineRule="auto"/>
              <w:rPr>
                <w:rFonts w:cs="Arial"/>
              </w:rPr>
            </w:pPr>
            <w:r w:rsidRPr="004A3123">
              <w:rPr>
                <w:rFonts w:cs="Arial"/>
              </w:rPr>
              <w:t>Risk Assessments: Not in place</w:t>
            </w:r>
          </w:p>
          <w:p w14:paraId="542C1BFC" w14:textId="248C6F0D" w:rsidR="00CB494F" w:rsidRPr="004B77AE" w:rsidRDefault="00CB494F" w:rsidP="00441BD5">
            <w:pPr>
              <w:pStyle w:val="ListParagraph"/>
              <w:numPr>
                <w:ilvl w:val="0"/>
                <w:numId w:val="10"/>
              </w:numPr>
              <w:spacing w:line="259" w:lineRule="auto"/>
              <w:rPr>
                <w:rFonts w:cs="Arial"/>
              </w:rPr>
            </w:pPr>
            <w:r w:rsidRPr="004B77AE">
              <w:rPr>
                <w:rFonts w:cs="Arial"/>
              </w:rPr>
              <w:t>SEG and Network reporting template in development.</w:t>
            </w:r>
          </w:p>
        </w:tc>
        <w:tc>
          <w:tcPr>
            <w:tcW w:w="1550" w:type="dxa"/>
            <w:gridSpan w:val="2"/>
            <w:shd w:val="clear" w:color="auto" w:fill="B3E1F5" w:themeFill="accent4" w:themeFillTint="66"/>
            <w:vAlign w:val="center"/>
          </w:tcPr>
          <w:p w14:paraId="14BA3889" w14:textId="77777777" w:rsidR="00CB494F" w:rsidRPr="004B77AE" w:rsidRDefault="00CB494F" w:rsidP="00CB494F">
            <w:pPr>
              <w:pStyle w:val="TableText"/>
              <w:jc w:val="center"/>
              <w:rPr>
                <w:rFonts w:cs="Arial"/>
                <w:b/>
                <w:bCs/>
                <w:sz w:val="36"/>
                <w:szCs w:val="36"/>
              </w:rPr>
            </w:pPr>
            <w:r w:rsidRPr="004B77AE">
              <w:rPr>
                <w:rFonts w:cs="Arial"/>
                <w:b/>
                <w:bCs/>
                <w:sz w:val="36"/>
                <w:szCs w:val="36"/>
              </w:rPr>
              <w:t>1</w:t>
            </w:r>
          </w:p>
          <w:p w14:paraId="3B3A6305" w14:textId="47178FF3" w:rsidR="00CB494F" w:rsidRPr="004B77AE" w:rsidRDefault="00CB494F" w:rsidP="00CB494F">
            <w:pPr>
              <w:spacing w:line="259" w:lineRule="auto"/>
              <w:jc w:val="center"/>
              <w:rPr>
                <w:rFonts w:cs="Arial"/>
              </w:rPr>
            </w:pPr>
            <w:r w:rsidRPr="004B77AE">
              <w:rPr>
                <w:rFonts w:cs="Arial"/>
                <w:b/>
                <w:bCs/>
                <w:sz w:val="20"/>
                <w:szCs w:val="20"/>
              </w:rPr>
              <w:t>Developing</w:t>
            </w:r>
          </w:p>
        </w:tc>
        <w:tc>
          <w:tcPr>
            <w:tcW w:w="2347" w:type="dxa"/>
            <w:gridSpan w:val="2"/>
          </w:tcPr>
          <w:p w14:paraId="4323E376" w14:textId="77777777" w:rsidR="00CB494F" w:rsidRPr="004B77AE" w:rsidRDefault="00CB494F" w:rsidP="00CB494F">
            <w:pPr>
              <w:spacing w:line="259" w:lineRule="auto"/>
              <w:rPr>
                <w:rFonts w:cs="Arial"/>
                <w:b/>
                <w:bCs/>
              </w:rPr>
            </w:pPr>
            <w:r w:rsidRPr="004B77AE">
              <w:rPr>
                <w:rFonts w:cs="Arial"/>
                <w:b/>
                <w:bCs/>
              </w:rPr>
              <w:t>Rosa Waddingham</w:t>
            </w:r>
          </w:p>
          <w:p w14:paraId="52D9EC99" w14:textId="77777777" w:rsidR="00CB494F" w:rsidRPr="004B77AE" w:rsidRDefault="00CB494F" w:rsidP="00CB494F">
            <w:pPr>
              <w:spacing w:line="259" w:lineRule="auto"/>
              <w:rPr>
                <w:rFonts w:cs="Arial"/>
              </w:rPr>
            </w:pPr>
            <w:r w:rsidRPr="004B77AE">
              <w:rPr>
                <w:rFonts w:cs="Arial"/>
              </w:rPr>
              <w:t>Chief Nurse and SRO for EDI</w:t>
            </w:r>
          </w:p>
          <w:p w14:paraId="0D569568" w14:textId="77777777" w:rsidR="00CB494F" w:rsidRPr="004B77AE" w:rsidRDefault="00CB494F" w:rsidP="00CB494F">
            <w:pPr>
              <w:spacing w:line="259" w:lineRule="auto"/>
              <w:rPr>
                <w:rFonts w:cs="Arial"/>
              </w:rPr>
            </w:pPr>
          </w:p>
          <w:p w14:paraId="4DAE78DE" w14:textId="77777777" w:rsidR="00CB494F" w:rsidRPr="004B77AE" w:rsidRDefault="00CB494F" w:rsidP="00CB494F">
            <w:pPr>
              <w:spacing w:line="259" w:lineRule="auto"/>
              <w:rPr>
                <w:rFonts w:cs="Arial"/>
              </w:rPr>
            </w:pPr>
            <w:r w:rsidRPr="004B77AE">
              <w:rPr>
                <w:rFonts w:cs="Arial"/>
                <w:b/>
                <w:bCs/>
              </w:rPr>
              <w:t>Amanda Sullivan</w:t>
            </w:r>
          </w:p>
          <w:p w14:paraId="49F593CD" w14:textId="395FBE6E" w:rsidR="00CB494F" w:rsidRPr="004B77AE" w:rsidRDefault="00CB494F" w:rsidP="00CB494F">
            <w:pPr>
              <w:spacing w:line="259" w:lineRule="auto"/>
              <w:rPr>
                <w:rFonts w:cs="Arial"/>
              </w:rPr>
            </w:pPr>
            <w:r w:rsidRPr="004B77AE">
              <w:rPr>
                <w:rFonts w:cs="Arial"/>
              </w:rPr>
              <w:t>Chief Executive Officer</w:t>
            </w:r>
          </w:p>
        </w:tc>
      </w:tr>
      <w:tr w:rsidR="00CB494F" w:rsidRPr="004B77AE" w14:paraId="7ABB8455" w14:textId="77777777" w:rsidTr="0004281F">
        <w:trPr>
          <w:cantSplit/>
          <w:trHeight w:val="1474"/>
        </w:trPr>
        <w:tc>
          <w:tcPr>
            <w:tcW w:w="1370" w:type="dxa"/>
            <w:shd w:val="clear" w:color="auto" w:fill="BDDEFF" w:themeFill="accent1" w:themeFillTint="33"/>
          </w:tcPr>
          <w:p w14:paraId="00548831" w14:textId="77777777" w:rsidR="00CB494F" w:rsidRPr="004B77AE" w:rsidRDefault="00CB494F" w:rsidP="00CB494F">
            <w:pPr>
              <w:spacing w:after="160" w:line="259" w:lineRule="auto"/>
              <w:rPr>
                <w:rFonts w:cs="Arial"/>
              </w:rPr>
            </w:pPr>
          </w:p>
        </w:tc>
        <w:tc>
          <w:tcPr>
            <w:tcW w:w="3834" w:type="dxa"/>
            <w:gridSpan w:val="2"/>
            <w:shd w:val="clear" w:color="auto" w:fill="BDDEFF" w:themeFill="accent1" w:themeFillTint="33"/>
          </w:tcPr>
          <w:p w14:paraId="45F97779" w14:textId="77777777" w:rsidR="00CB494F" w:rsidRPr="004B77AE" w:rsidRDefault="00CB494F" w:rsidP="00CB494F">
            <w:pPr>
              <w:spacing w:line="259" w:lineRule="auto"/>
              <w:rPr>
                <w:rFonts w:cs="Arial"/>
              </w:rPr>
            </w:pPr>
            <w:r w:rsidRPr="004B77AE">
              <w:rPr>
                <w:rFonts w:cs="Arial"/>
              </w:rPr>
              <w:t>3C: Board members and system leaders (Band 9 and VSM) ensure levers are in place to manage performance and monitor progress with staff and patients</w:t>
            </w:r>
          </w:p>
        </w:tc>
        <w:tc>
          <w:tcPr>
            <w:tcW w:w="6222" w:type="dxa"/>
            <w:gridSpan w:val="3"/>
          </w:tcPr>
          <w:p w14:paraId="5A58584A" w14:textId="0ED8CF8E" w:rsidR="00CB494F" w:rsidRPr="004A3123" w:rsidRDefault="00C234C5" w:rsidP="00CB494F">
            <w:pPr>
              <w:spacing w:line="259" w:lineRule="auto"/>
              <w:rPr>
                <w:rFonts w:cs="Arial"/>
              </w:rPr>
            </w:pPr>
            <w:r w:rsidRPr="004A3123">
              <w:rPr>
                <w:rFonts w:cs="Arial"/>
              </w:rPr>
              <w:t xml:space="preserve">The ICB has </w:t>
            </w:r>
            <w:proofErr w:type="gramStart"/>
            <w:r w:rsidRPr="004A3123">
              <w:rPr>
                <w:rFonts w:cs="Arial"/>
              </w:rPr>
              <w:t>a number of</w:t>
            </w:r>
            <w:proofErr w:type="gramEnd"/>
            <w:r w:rsidRPr="004A3123">
              <w:rPr>
                <w:rFonts w:cs="Arial"/>
              </w:rPr>
              <w:t xml:space="preserve"> engagement opportunities with both patients and staff and the opportunity to manage performance and progress with our providers. </w:t>
            </w:r>
          </w:p>
          <w:p w14:paraId="686E7885" w14:textId="77777777" w:rsidR="00C234C5" w:rsidRPr="004A3123" w:rsidRDefault="00C234C5" w:rsidP="00CB494F">
            <w:pPr>
              <w:spacing w:line="259" w:lineRule="auto"/>
              <w:rPr>
                <w:rFonts w:cs="Arial"/>
              </w:rPr>
            </w:pPr>
          </w:p>
          <w:p w14:paraId="7B81199F" w14:textId="77777777" w:rsidR="00CD6EC5" w:rsidRPr="004A3123" w:rsidRDefault="00CD6EC5" w:rsidP="00CB494F">
            <w:pPr>
              <w:spacing w:line="259" w:lineRule="auto"/>
              <w:rPr>
                <w:rFonts w:cs="Arial"/>
                <w:b/>
                <w:bCs/>
              </w:rPr>
            </w:pPr>
            <w:r w:rsidRPr="004A3123">
              <w:rPr>
                <w:rFonts w:cs="Arial"/>
                <w:b/>
                <w:bCs/>
              </w:rPr>
              <w:t>STAFF:</w:t>
            </w:r>
          </w:p>
          <w:p w14:paraId="467B835B" w14:textId="3BBF4FF1" w:rsidR="00C234C5" w:rsidRPr="004A3123" w:rsidRDefault="00C234C5" w:rsidP="00CB494F">
            <w:pPr>
              <w:spacing w:line="259" w:lineRule="auto"/>
              <w:rPr>
                <w:rFonts w:cs="Arial"/>
              </w:rPr>
            </w:pPr>
            <w:r w:rsidRPr="004A3123">
              <w:rPr>
                <w:rFonts w:cs="Arial"/>
              </w:rPr>
              <w:t xml:space="preserve">Our staff engagement processes are detailed in previous sections and include our Staff Engagement Group, our Staff equality networks and communications approach with staff. This includes but is not limited to monthly staff briefings, weekly </w:t>
            </w:r>
            <w:r w:rsidR="00003B57" w:rsidRPr="004A3123">
              <w:rPr>
                <w:rFonts w:cs="Arial"/>
              </w:rPr>
              <w:t>newsletters,</w:t>
            </w:r>
            <w:r w:rsidRPr="004A3123">
              <w:rPr>
                <w:rFonts w:cs="Arial"/>
              </w:rPr>
              <w:t xml:space="preserve"> and </w:t>
            </w:r>
            <w:r w:rsidR="00003B57" w:rsidRPr="004A3123">
              <w:rPr>
                <w:rFonts w:cs="Arial"/>
              </w:rPr>
              <w:t>biannual</w:t>
            </w:r>
            <w:r w:rsidRPr="004A3123">
              <w:rPr>
                <w:rFonts w:cs="Arial"/>
              </w:rPr>
              <w:t xml:space="preserve"> staff events. </w:t>
            </w:r>
          </w:p>
          <w:p w14:paraId="5B04BF55" w14:textId="77777777" w:rsidR="00C234C5" w:rsidRPr="004A3123" w:rsidRDefault="00C234C5" w:rsidP="00CB494F">
            <w:pPr>
              <w:spacing w:line="259" w:lineRule="auto"/>
              <w:rPr>
                <w:rFonts w:cs="Arial"/>
              </w:rPr>
            </w:pPr>
          </w:p>
          <w:p w14:paraId="2F9F8A12" w14:textId="77777777" w:rsidR="00C234C5" w:rsidRPr="004A3123" w:rsidRDefault="00C234C5" w:rsidP="00CB494F">
            <w:pPr>
              <w:spacing w:line="259" w:lineRule="auto"/>
              <w:rPr>
                <w:rFonts w:cs="Arial"/>
              </w:rPr>
            </w:pPr>
            <w:r w:rsidRPr="004A3123">
              <w:rPr>
                <w:rFonts w:cs="Arial"/>
              </w:rPr>
              <w:t xml:space="preserve">Staff engagement performance is monitored and managed via the National Staff Survey – results for 2023 survey can be found here. </w:t>
            </w:r>
          </w:p>
          <w:p w14:paraId="13105875" w14:textId="77777777" w:rsidR="00C234C5" w:rsidRPr="004A3123" w:rsidRDefault="00C234C5" w:rsidP="00CB494F">
            <w:pPr>
              <w:spacing w:line="259" w:lineRule="auto"/>
              <w:rPr>
                <w:rFonts w:cs="Arial"/>
              </w:rPr>
            </w:pPr>
          </w:p>
          <w:p w14:paraId="5EC2A01E" w14:textId="20468D2F" w:rsidR="00C234C5" w:rsidRPr="004A3123" w:rsidRDefault="00C234C5" w:rsidP="00CB494F">
            <w:pPr>
              <w:spacing w:line="259" w:lineRule="auto"/>
              <w:rPr>
                <w:rFonts w:cs="Arial"/>
              </w:rPr>
            </w:pPr>
            <w:r w:rsidRPr="004A3123">
              <w:rPr>
                <w:rFonts w:cs="Arial"/>
              </w:rPr>
              <w:t xml:space="preserve">The ICB also runs quarterly Pulse Surveys to monitor the feelings within the organisation. These are relatively new and are yet to be run. </w:t>
            </w:r>
          </w:p>
          <w:p w14:paraId="69B338DE" w14:textId="77777777" w:rsidR="00C234C5" w:rsidRPr="004A3123" w:rsidRDefault="00C234C5" w:rsidP="00CB494F">
            <w:pPr>
              <w:spacing w:line="259" w:lineRule="auto"/>
              <w:rPr>
                <w:rFonts w:cs="Arial"/>
              </w:rPr>
            </w:pPr>
          </w:p>
          <w:p w14:paraId="4CEC62F8" w14:textId="46976500" w:rsidR="00C234C5" w:rsidRPr="004A3123" w:rsidRDefault="00C234C5" w:rsidP="00CB494F">
            <w:pPr>
              <w:spacing w:line="259" w:lineRule="auto"/>
              <w:rPr>
                <w:rFonts w:cs="Arial"/>
              </w:rPr>
            </w:pPr>
            <w:r w:rsidRPr="004A3123">
              <w:rPr>
                <w:rFonts w:cs="Arial"/>
              </w:rPr>
              <w:t xml:space="preserve">Wider staff performance is monitored via the HR and OD Steering Group. The group has a membership of all the Executive Management team and senior members of the HR &amp; OD Team. The People Dashboard is presented and monitored at this meeting which includes </w:t>
            </w:r>
            <w:r w:rsidR="00CD6EC5" w:rsidRPr="004A3123">
              <w:rPr>
                <w:rFonts w:cs="Arial"/>
              </w:rPr>
              <w:t>workforce turnover data, sickness absence data, appraisal data and workforce demographic data.</w:t>
            </w:r>
          </w:p>
          <w:p w14:paraId="3E37F65E" w14:textId="77777777" w:rsidR="00CD6EC5" w:rsidRPr="004A3123" w:rsidRDefault="00CD6EC5" w:rsidP="00CB494F">
            <w:pPr>
              <w:spacing w:line="259" w:lineRule="auto"/>
              <w:rPr>
                <w:rFonts w:cs="Arial"/>
              </w:rPr>
            </w:pPr>
          </w:p>
          <w:p w14:paraId="1B1DAA22" w14:textId="77777777" w:rsidR="00CD6EC5" w:rsidRPr="004A3123" w:rsidRDefault="00CD6EC5" w:rsidP="00CB494F">
            <w:pPr>
              <w:spacing w:line="259" w:lineRule="auto"/>
              <w:rPr>
                <w:rFonts w:cs="Arial"/>
              </w:rPr>
            </w:pPr>
            <w:r w:rsidRPr="004A3123">
              <w:rPr>
                <w:rFonts w:cs="Arial"/>
              </w:rPr>
              <w:t>The ICB also monitor the Gender Pay Gap, WRES and WDES position and action plans through the HR and OD Steering Group.  These papers and action plans are also presented to the EIHR Steering Group.</w:t>
            </w:r>
          </w:p>
          <w:p w14:paraId="2E3B9A89" w14:textId="7113C2B9" w:rsidR="00CD6EC5" w:rsidRPr="004A3123" w:rsidRDefault="00CD6EC5" w:rsidP="00CB494F">
            <w:pPr>
              <w:spacing w:line="259" w:lineRule="auto"/>
              <w:rPr>
                <w:rFonts w:cs="Arial"/>
              </w:rPr>
            </w:pPr>
            <w:r w:rsidRPr="004A3123">
              <w:rPr>
                <w:rFonts w:cs="Arial"/>
              </w:rPr>
              <w:lastRenderedPageBreak/>
              <w:t>The HR and OD Steering Group reports to the ICB Board via Chief Executive updates.</w:t>
            </w:r>
          </w:p>
          <w:p w14:paraId="2963A70D" w14:textId="77777777" w:rsidR="00CD6EC5" w:rsidRPr="004A3123" w:rsidRDefault="00CD6EC5" w:rsidP="00CB494F">
            <w:pPr>
              <w:spacing w:line="259" w:lineRule="auto"/>
              <w:rPr>
                <w:rFonts w:cs="Arial"/>
              </w:rPr>
            </w:pPr>
          </w:p>
          <w:p w14:paraId="2E1CD2E5" w14:textId="77777777" w:rsidR="00CD6EC5" w:rsidRPr="004A3123" w:rsidRDefault="00CD6EC5" w:rsidP="00CB494F">
            <w:pPr>
              <w:spacing w:line="259" w:lineRule="auto"/>
              <w:rPr>
                <w:rFonts w:cs="Arial"/>
                <w:b/>
                <w:bCs/>
              </w:rPr>
            </w:pPr>
            <w:r w:rsidRPr="004A3123">
              <w:rPr>
                <w:rFonts w:cs="Arial"/>
                <w:b/>
                <w:bCs/>
              </w:rPr>
              <w:t>PATIENTS:</w:t>
            </w:r>
          </w:p>
          <w:p w14:paraId="18FB9319" w14:textId="77777777" w:rsidR="00CD6EC5" w:rsidRPr="004A3123" w:rsidRDefault="00CD6EC5" w:rsidP="00CB494F">
            <w:pPr>
              <w:spacing w:line="259" w:lineRule="auto"/>
              <w:rPr>
                <w:rFonts w:cs="Arial"/>
              </w:rPr>
            </w:pPr>
            <w:r w:rsidRPr="004A3123">
              <w:rPr>
                <w:rFonts w:cs="Arial"/>
              </w:rPr>
              <w:t xml:space="preserve">Within the ICB patient experience is monitored via the Quality &amp; People Committee. This is a formal committee that reports to the ICB Board. </w:t>
            </w:r>
          </w:p>
          <w:p w14:paraId="0E69353A" w14:textId="2619A860" w:rsidR="00CD6EC5" w:rsidRPr="004A3123" w:rsidRDefault="00CD6EC5" w:rsidP="00CB494F">
            <w:pPr>
              <w:spacing w:line="259" w:lineRule="auto"/>
              <w:rPr>
                <w:rFonts w:cs="Arial"/>
              </w:rPr>
            </w:pPr>
          </w:p>
        </w:tc>
        <w:tc>
          <w:tcPr>
            <w:tcW w:w="1550" w:type="dxa"/>
            <w:gridSpan w:val="2"/>
            <w:shd w:val="clear" w:color="auto" w:fill="B3E1F5" w:themeFill="accent4" w:themeFillTint="66"/>
            <w:vAlign w:val="center"/>
          </w:tcPr>
          <w:p w14:paraId="5D62829A" w14:textId="77777777" w:rsidR="00CB494F" w:rsidRPr="004A3123" w:rsidRDefault="00CB494F" w:rsidP="00CB494F">
            <w:pPr>
              <w:pStyle w:val="TableText"/>
              <w:jc w:val="center"/>
              <w:rPr>
                <w:rFonts w:cs="Arial"/>
                <w:b/>
                <w:bCs/>
                <w:sz w:val="36"/>
                <w:szCs w:val="36"/>
              </w:rPr>
            </w:pPr>
            <w:r w:rsidRPr="004A3123">
              <w:rPr>
                <w:rFonts w:cs="Arial"/>
                <w:b/>
                <w:bCs/>
                <w:sz w:val="36"/>
                <w:szCs w:val="36"/>
              </w:rPr>
              <w:lastRenderedPageBreak/>
              <w:t>1</w:t>
            </w:r>
          </w:p>
          <w:p w14:paraId="752BB2E1" w14:textId="27393BDE" w:rsidR="00CB494F" w:rsidRPr="004A3123" w:rsidRDefault="00CB494F" w:rsidP="00CB494F">
            <w:pPr>
              <w:spacing w:line="259" w:lineRule="auto"/>
              <w:jc w:val="center"/>
              <w:rPr>
                <w:rFonts w:cs="Arial"/>
              </w:rPr>
            </w:pPr>
            <w:r w:rsidRPr="004A3123">
              <w:rPr>
                <w:rFonts w:cs="Arial"/>
                <w:b/>
                <w:bCs/>
                <w:sz w:val="20"/>
                <w:szCs w:val="20"/>
              </w:rPr>
              <w:t>Developing</w:t>
            </w:r>
          </w:p>
        </w:tc>
        <w:tc>
          <w:tcPr>
            <w:tcW w:w="2347" w:type="dxa"/>
            <w:gridSpan w:val="2"/>
          </w:tcPr>
          <w:p w14:paraId="022A6C95" w14:textId="77777777" w:rsidR="00CB494F" w:rsidRPr="004A3123" w:rsidRDefault="00CB494F" w:rsidP="00CB494F">
            <w:pPr>
              <w:spacing w:line="259" w:lineRule="auto"/>
              <w:rPr>
                <w:rFonts w:cs="Arial"/>
                <w:b/>
                <w:bCs/>
              </w:rPr>
            </w:pPr>
            <w:r w:rsidRPr="004A3123">
              <w:rPr>
                <w:rFonts w:cs="Arial"/>
                <w:b/>
                <w:bCs/>
              </w:rPr>
              <w:t>Rosa Waddingham</w:t>
            </w:r>
          </w:p>
          <w:p w14:paraId="30944A59" w14:textId="77777777" w:rsidR="00CB494F" w:rsidRPr="004A3123" w:rsidRDefault="00CB494F" w:rsidP="00CB494F">
            <w:pPr>
              <w:spacing w:line="259" w:lineRule="auto"/>
              <w:rPr>
                <w:rFonts w:cs="Arial"/>
              </w:rPr>
            </w:pPr>
            <w:r w:rsidRPr="004A3123">
              <w:rPr>
                <w:rFonts w:cs="Arial"/>
              </w:rPr>
              <w:t>Chief Nurse and SRO for EDI</w:t>
            </w:r>
          </w:p>
          <w:p w14:paraId="43F51758" w14:textId="77777777" w:rsidR="00CB494F" w:rsidRPr="004A3123" w:rsidRDefault="00CB494F" w:rsidP="00CB494F">
            <w:pPr>
              <w:spacing w:line="259" w:lineRule="auto"/>
              <w:rPr>
                <w:rFonts w:cs="Arial"/>
              </w:rPr>
            </w:pPr>
          </w:p>
          <w:p w14:paraId="2C8D61BD" w14:textId="77777777" w:rsidR="00CB494F" w:rsidRPr="004A3123" w:rsidRDefault="00CB494F" w:rsidP="00CB494F">
            <w:pPr>
              <w:spacing w:line="259" w:lineRule="auto"/>
              <w:rPr>
                <w:rFonts w:cs="Arial"/>
              </w:rPr>
            </w:pPr>
            <w:r w:rsidRPr="004A3123">
              <w:rPr>
                <w:rFonts w:cs="Arial"/>
                <w:b/>
                <w:bCs/>
              </w:rPr>
              <w:t>Amanda Sullivan</w:t>
            </w:r>
          </w:p>
          <w:p w14:paraId="287A6683" w14:textId="46EB502C" w:rsidR="00CB494F" w:rsidRPr="004A3123" w:rsidRDefault="00CB494F" w:rsidP="00CB494F">
            <w:pPr>
              <w:spacing w:line="259" w:lineRule="auto"/>
              <w:rPr>
                <w:rFonts w:cs="Arial"/>
              </w:rPr>
            </w:pPr>
            <w:r w:rsidRPr="004A3123">
              <w:rPr>
                <w:rFonts w:cs="Arial"/>
              </w:rPr>
              <w:t>Chief Executive Officer</w:t>
            </w:r>
          </w:p>
        </w:tc>
      </w:tr>
      <w:tr w:rsidR="0004281F" w:rsidRPr="004B77AE" w14:paraId="164E6232" w14:textId="77777777" w:rsidTr="0004281F">
        <w:trPr>
          <w:gridAfter w:val="1"/>
          <w:wAfter w:w="18" w:type="dxa"/>
        </w:trPr>
        <w:tc>
          <w:tcPr>
            <w:tcW w:w="1413" w:type="dxa"/>
            <w:gridSpan w:val="2"/>
            <w:shd w:val="clear" w:color="auto" w:fill="BDDEFF" w:themeFill="accent1" w:themeFillTint="33"/>
          </w:tcPr>
          <w:p w14:paraId="0C4B5A4A" w14:textId="77777777" w:rsidR="0004281F" w:rsidRPr="004B77AE" w:rsidRDefault="0004281F" w:rsidP="00CB494F">
            <w:pPr>
              <w:rPr>
                <w:rFonts w:cs="Arial"/>
                <w:b/>
              </w:rPr>
            </w:pPr>
          </w:p>
        </w:tc>
        <w:tc>
          <w:tcPr>
            <w:tcW w:w="3827" w:type="dxa"/>
            <w:gridSpan w:val="2"/>
            <w:shd w:val="clear" w:color="auto" w:fill="BDDEFF" w:themeFill="accent1" w:themeFillTint="33"/>
          </w:tcPr>
          <w:p w14:paraId="57AAD96B" w14:textId="77777777" w:rsidR="0004281F" w:rsidRPr="004B77AE" w:rsidRDefault="0004281F" w:rsidP="00CB494F">
            <w:pPr>
              <w:rPr>
                <w:rFonts w:cs="Arial"/>
                <w:b/>
              </w:rPr>
            </w:pPr>
          </w:p>
        </w:tc>
        <w:tc>
          <w:tcPr>
            <w:tcW w:w="6168" w:type="dxa"/>
            <w:shd w:val="clear" w:color="auto" w:fill="BDDEFF" w:themeFill="accent1" w:themeFillTint="33"/>
          </w:tcPr>
          <w:p w14:paraId="06D09B6E" w14:textId="1840CEB3" w:rsidR="0004281F" w:rsidRPr="004B77AE" w:rsidRDefault="0004281F" w:rsidP="00CB494F">
            <w:pPr>
              <w:rPr>
                <w:rFonts w:cs="Arial"/>
                <w:b/>
              </w:rPr>
            </w:pPr>
            <w:r w:rsidRPr="004B77AE">
              <w:rPr>
                <w:rFonts w:cs="Arial"/>
                <w:b/>
              </w:rPr>
              <w:t>Domain 3: Inclusive leadership overall rating</w:t>
            </w:r>
          </w:p>
        </w:tc>
        <w:tc>
          <w:tcPr>
            <w:tcW w:w="1550" w:type="dxa"/>
            <w:gridSpan w:val="2"/>
            <w:shd w:val="clear" w:color="auto" w:fill="1991C2" w:themeFill="accent4" w:themeFillShade="BF"/>
            <w:vAlign w:val="center"/>
          </w:tcPr>
          <w:p w14:paraId="0CAEFC7D" w14:textId="140B00D9" w:rsidR="0004281F" w:rsidRPr="004B77AE" w:rsidRDefault="0004281F" w:rsidP="00CB494F">
            <w:pPr>
              <w:pStyle w:val="TableText"/>
              <w:jc w:val="center"/>
              <w:rPr>
                <w:rFonts w:cs="Arial"/>
                <w:b/>
                <w:bCs/>
                <w:sz w:val="36"/>
                <w:szCs w:val="36"/>
              </w:rPr>
            </w:pPr>
            <w:r w:rsidRPr="004B77AE">
              <w:rPr>
                <w:rFonts w:cs="Arial"/>
                <w:b/>
                <w:bCs/>
                <w:sz w:val="36"/>
                <w:szCs w:val="36"/>
              </w:rPr>
              <w:t>3</w:t>
            </w:r>
          </w:p>
          <w:p w14:paraId="0BE789D4" w14:textId="71DF51B5" w:rsidR="0004281F" w:rsidRPr="004B77AE" w:rsidRDefault="0004281F" w:rsidP="00CB494F">
            <w:pPr>
              <w:spacing w:after="160" w:line="259" w:lineRule="auto"/>
              <w:jc w:val="center"/>
              <w:rPr>
                <w:rFonts w:cs="Arial"/>
              </w:rPr>
            </w:pPr>
            <w:r w:rsidRPr="004B77AE">
              <w:rPr>
                <w:rFonts w:cs="Arial"/>
                <w:b/>
                <w:bCs/>
                <w:sz w:val="20"/>
                <w:szCs w:val="20"/>
              </w:rPr>
              <w:t>Developing</w:t>
            </w:r>
          </w:p>
        </w:tc>
        <w:tc>
          <w:tcPr>
            <w:tcW w:w="2347" w:type="dxa"/>
            <w:gridSpan w:val="2"/>
            <w:shd w:val="clear" w:color="auto" w:fill="BDDEFF" w:themeFill="accent1" w:themeFillTint="33"/>
          </w:tcPr>
          <w:p w14:paraId="4C9F4CB4" w14:textId="77777777" w:rsidR="0004281F" w:rsidRPr="004B77AE" w:rsidRDefault="0004281F" w:rsidP="00CB494F">
            <w:pPr>
              <w:spacing w:after="160" w:line="259" w:lineRule="auto"/>
              <w:rPr>
                <w:rFonts w:cs="Arial"/>
              </w:rPr>
            </w:pPr>
          </w:p>
        </w:tc>
      </w:tr>
    </w:tbl>
    <w:tbl>
      <w:tblPr>
        <w:tblStyle w:val="TableGrid"/>
        <w:tblpPr w:leftFromText="180" w:rightFromText="180" w:vertAnchor="text" w:tblpY="11"/>
        <w:tblW w:w="15446" w:type="dxa"/>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413"/>
        <w:gridCol w:w="3827"/>
        <w:gridCol w:w="6237"/>
        <w:gridCol w:w="1418"/>
        <w:gridCol w:w="2551"/>
      </w:tblGrid>
      <w:tr w:rsidR="004C63A9" w:rsidRPr="00500A4F" w14:paraId="069F7D8C" w14:textId="77777777" w:rsidTr="004C63A9">
        <w:tc>
          <w:tcPr>
            <w:tcW w:w="1413" w:type="dxa"/>
            <w:shd w:val="clear" w:color="auto" w:fill="BDDEFF" w:themeFill="accent1" w:themeFillTint="33"/>
            <w:vAlign w:val="center"/>
          </w:tcPr>
          <w:p w14:paraId="7F03F2D4" w14:textId="696C609A" w:rsidR="004C63A9" w:rsidRPr="00500A4F" w:rsidRDefault="004C63A9" w:rsidP="0004281F">
            <w:pPr>
              <w:rPr>
                <w:rFonts w:ascii="Tenorite" w:hAnsi="Tenorite" w:cs="Arial"/>
                <w:b/>
              </w:rPr>
            </w:pPr>
          </w:p>
        </w:tc>
        <w:tc>
          <w:tcPr>
            <w:tcW w:w="3827" w:type="dxa"/>
            <w:shd w:val="clear" w:color="auto" w:fill="BDDEFF" w:themeFill="accent1" w:themeFillTint="33"/>
            <w:vAlign w:val="center"/>
          </w:tcPr>
          <w:p w14:paraId="41B85D64" w14:textId="753C5B0E" w:rsidR="004C63A9" w:rsidRPr="00500A4F" w:rsidRDefault="004C63A9" w:rsidP="0004281F">
            <w:pPr>
              <w:rPr>
                <w:rFonts w:ascii="Tenorite" w:hAnsi="Tenorite" w:cs="Arial"/>
                <w:b/>
              </w:rPr>
            </w:pPr>
            <w:r w:rsidRPr="00500A4F">
              <w:rPr>
                <w:rFonts w:ascii="Tenorite" w:hAnsi="Tenorite" w:cs="Arial"/>
                <w:b/>
              </w:rPr>
              <w:t>Third-party involvement in Domain 3 rating and review</w:t>
            </w:r>
            <w:r>
              <w:rPr>
                <w:rFonts w:ascii="Tenorite" w:hAnsi="Tenorite" w:cs="Arial"/>
                <w:b/>
              </w:rPr>
              <w:t xml:space="preserve"> - </w:t>
            </w:r>
            <w:r w:rsidRPr="004C63A9">
              <w:rPr>
                <w:rFonts w:ascii="Tenorite" w:hAnsi="Tenorite" w:cs="Arial"/>
                <w:bCs/>
              </w:rPr>
              <w:t>unscored</w:t>
            </w:r>
          </w:p>
        </w:tc>
        <w:tc>
          <w:tcPr>
            <w:tcW w:w="6237" w:type="dxa"/>
            <w:shd w:val="clear" w:color="auto" w:fill="BDDEFF" w:themeFill="accent1" w:themeFillTint="33"/>
            <w:vAlign w:val="center"/>
          </w:tcPr>
          <w:p w14:paraId="76788D78" w14:textId="61F542DF" w:rsidR="004C63A9" w:rsidRPr="00500A4F" w:rsidRDefault="004C63A9" w:rsidP="0004281F">
            <w:pPr>
              <w:rPr>
                <w:rFonts w:ascii="Tenorite" w:hAnsi="Tenorite" w:cs="Arial"/>
                <w:b/>
              </w:rPr>
            </w:pPr>
          </w:p>
        </w:tc>
        <w:tc>
          <w:tcPr>
            <w:tcW w:w="1418" w:type="dxa"/>
            <w:shd w:val="clear" w:color="auto" w:fill="BDDEFF" w:themeFill="accent1" w:themeFillTint="33"/>
            <w:vAlign w:val="center"/>
          </w:tcPr>
          <w:p w14:paraId="45F6C123" w14:textId="77777777" w:rsidR="004C63A9" w:rsidRPr="00500A4F" w:rsidRDefault="004C63A9" w:rsidP="0004281F">
            <w:pPr>
              <w:rPr>
                <w:rFonts w:ascii="Tenorite" w:hAnsi="Tenorite" w:cs="Arial"/>
                <w:b/>
              </w:rPr>
            </w:pPr>
          </w:p>
        </w:tc>
        <w:tc>
          <w:tcPr>
            <w:tcW w:w="2551" w:type="dxa"/>
            <w:shd w:val="clear" w:color="auto" w:fill="BDDEFF" w:themeFill="accent1" w:themeFillTint="33"/>
            <w:vAlign w:val="center"/>
          </w:tcPr>
          <w:p w14:paraId="36DE3B8E" w14:textId="124A42F1" w:rsidR="004C63A9" w:rsidRPr="00500A4F" w:rsidRDefault="004C63A9" w:rsidP="0004281F">
            <w:pPr>
              <w:rPr>
                <w:rFonts w:ascii="Tenorite" w:hAnsi="Tenorite" w:cs="Arial"/>
                <w:b/>
              </w:rPr>
            </w:pPr>
          </w:p>
        </w:tc>
      </w:tr>
      <w:tr w:rsidR="004C63A9" w:rsidRPr="00500A4F" w14:paraId="6AAA70B9" w14:textId="77777777" w:rsidTr="004C63A9">
        <w:tc>
          <w:tcPr>
            <w:tcW w:w="1413" w:type="dxa"/>
            <w:shd w:val="clear" w:color="auto" w:fill="BDDEFF" w:themeFill="accent1" w:themeFillTint="33"/>
          </w:tcPr>
          <w:p w14:paraId="4355358F" w14:textId="77777777" w:rsidR="004C63A9" w:rsidRPr="00500A4F" w:rsidRDefault="004C63A9" w:rsidP="002D0893">
            <w:pPr>
              <w:rPr>
                <w:rFonts w:ascii="Tenorite" w:hAnsi="Tenorite" w:cs="Arial"/>
              </w:rPr>
            </w:pPr>
          </w:p>
        </w:tc>
        <w:tc>
          <w:tcPr>
            <w:tcW w:w="3827" w:type="dxa"/>
            <w:shd w:val="clear" w:color="auto" w:fill="BDDEFF" w:themeFill="accent1" w:themeFillTint="33"/>
          </w:tcPr>
          <w:p w14:paraId="2284B933" w14:textId="77777777" w:rsidR="004C63A9" w:rsidRPr="00500A4F" w:rsidRDefault="004C63A9" w:rsidP="004C63A9">
            <w:pPr>
              <w:rPr>
                <w:rFonts w:ascii="Tenorite" w:hAnsi="Tenorite" w:cs="Arial"/>
                <w:b/>
              </w:rPr>
            </w:pPr>
            <w:r w:rsidRPr="00500A4F">
              <w:rPr>
                <w:rFonts w:ascii="Tenorite" w:hAnsi="Tenorite" w:cs="Arial"/>
                <w:b/>
              </w:rPr>
              <w:t>Trade Union Rep(s):</w:t>
            </w:r>
            <w:r>
              <w:rPr>
                <w:rFonts w:ascii="Tenorite" w:hAnsi="Tenorite" w:cs="Arial"/>
                <w:b/>
              </w:rPr>
              <w:t xml:space="preserve"> </w:t>
            </w:r>
            <w:r w:rsidRPr="00A933EF">
              <w:rPr>
                <w:rFonts w:ascii="Tenorite" w:hAnsi="Tenorite" w:cs="Arial"/>
                <w:bCs/>
              </w:rPr>
              <w:t xml:space="preserve">Not sought in this </w:t>
            </w:r>
            <w:proofErr w:type="gramStart"/>
            <w:r w:rsidRPr="00A933EF">
              <w:rPr>
                <w:rFonts w:ascii="Tenorite" w:hAnsi="Tenorite" w:cs="Arial"/>
                <w:bCs/>
              </w:rPr>
              <w:t>review</w:t>
            </w:r>
            <w:proofErr w:type="gramEnd"/>
            <w:r>
              <w:rPr>
                <w:rFonts w:ascii="Tenorite" w:hAnsi="Tenorite" w:cs="Arial"/>
                <w:b/>
              </w:rPr>
              <w:t xml:space="preserve"> </w:t>
            </w:r>
          </w:p>
          <w:p w14:paraId="06D842A3" w14:textId="77777777" w:rsidR="004C63A9" w:rsidRPr="00500A4F" w:rsidRDefault="004C63A9" w:rsidP="00E33027">
            <w:pPr>
              <w:rPr>
                <w:rFonts w:ascii="Tenorite" w:hAnsi="Tenorite" w:cs="Arial"/>
                <w:sz w:val="28"/>
                <w:szCs w:val="28"/>
              </w:rPr>
            </w:pPr>
          </w:p>
        </w:tc>
        <w:tc>
          <w:tcPr>
            <w:tcW w:w="6237" w:type="dxa"/>
            <w:shd w:val="clear" w:color="auto" w:fill="BDDEFF" w:themeFill="accent1" w:themeFillTint="33"/>
          </w:tcPr>
          <w:p w14:paraId="318111B3" w14:textId="15971C20" w:rsidR="004C63A9" w:rsidRPr="00A933EF" w:rsidRDefault="004C63A9" w:rsidP="00E33027">
            <w:pPr>
              <w:rPr>
                <w:rFonts w:ascii="Tenorite" w:hAnsi="Tenorite" w:cs="Arial"/>
                <w:bCs/>
              </w:rPr>
            </w:pPr>
            <w:bookmarkStart w:id="10" w:name="_Toc43808933"/>
            <w:r w:rsidRPr="00500A4F">
              <w:rPr>
                <w:rFonts w:ascii="Tenorite" w:hAnsi="Tenorite" w:cs="Arial"/>
                <w:b/>
              </w:rPr>
              <w:t>Independent Evaluator(s)/Peer Reviewer(s</w:t>
            </w:r>
            <w:bookmarkEnd w:id="10"/>
            <w:r w:rsidRPr="00500A4F">
              <w:rPr>
                <w:rFonts w:ascii="Tenorite" w:hAnsi="Tenorite" w:cs="Arial"/>
                <w:b/>
              </w:rPr>
              <w:t>):</w:t>
            </w:r>
            <w:r>
              <w:rPr>
                <w:rFonts w:ascii="Tenorite" w:hAnsi="Tenorite" w:cs="Arial"/>
                <w:b/>
              </w:rPr>
              <w:t xml:space="preserve"> </w:t>
            </w:r>
            <w:r>
              <w:rPr>
                <w:rFonts w:ascii="Tenorite" w:hAnsi="Tenorite" w:cs="Arial"/>
                <w:bCs/>
              </w:rPr>
              <w:t xml:space="preserve">Not sought in this </w:t>
            </w:r>
            <w:proofErr w:type="gramStart"/>
            <w:r>
              <w:rPr>
                <w:rFonts w:ascii="Tenorite" w:hAnsi="Tenorite" w:cs="Arial"/>
                <w:bCs/>
              </w:rPr>
              <w:t>review</w:t>
            </w:r>
            <w:proofErr w:type="gramEnd"/>
          </w:p>
          <w:p w14:paraId="3BC8BFBE" w14:textId="77777777" w:rsidR="004C63A9" w:rsidRPr="00500A4F" w:rsidRDefault="004C63A9" w:rsidP="002D0893">
            <w:pPr>
              <w:rPr>
                <w:rFonts w:ascii="Tenorite" w:hAnsi="Tenorite" w:cs="Arial"/>
              </w:rPr>
            </w:pPr>
          </w:p>
        </w:tc>
        <w:tc>
          <w:tcPr>
            <w:tcW w:w="1418" w:type="dxa"/>
            <w:shd w:val="clear" w:color="auto" w:fill="BDDEFF" w:themeFill="accent1" w:themeFillTint="33"/>
          </w:tcPr>
          <w:p w14:paraId="4DD2959E" w14:textId="77777777" w:rsidR="004C63A9" w:rsidRPr="00500A4F" w:rsidRDefault="004C63A9" w:rsidP="00E33027">
            <w:pPr>
              <w:rPr>
                <w:rFonts w:ascii="Tenorite" w:hAnsi="Tenorite" w:cs="Arial"/>
                <w:sz w:val="28"/>
                <w:szCs w:val="28"/>
              </w:rPr>
            </w:pPr>
          </w:p>
        </w:tc>
        <w:tc>
          <w:tcPr>
            <w:tcW w:w="2551" w:type="dxa"/>
            <w:shd w:val="clear" w:color="auto" w:fill="BDDEFF" w:themeFill="accent1" w:themeFillTint="33"/>
          </w:tcPr>
          <w:p w14:paraId="32F48BF8" w14:textId="1C679BD9" w:rsidR="004C63A9" w:rsidRPr="00500A4F" w:rsidRDefault="004C63A9" w:rsidP="00E33027">
            <w:pPr>
              <w:rPr>
                <w:rFonts w:ascii="Tenorite" w:hAnsi="Tenorite" w:cs="Arial"/>
                <w:sz w:val="28"/>
                <w:szCs w:val="28"/>
              </w:rPr>
            </w:pPr>
          </w:p>
        </w:tc>
      </w:tr>
    </w:tbl>
    <w:p w14:paraId="5819D29B" w14:textId="77777777" w:rsidR="00BB480F" w:rsidRPr="00500A4F" w:rsidRDefault="00BB480F" w:rsidP="00BB480F">
      <w:pPr>
        <w:rPr>
          <w:rFonts w:ascii="Tenorite" w:hAnsi="Tenorite" w:cs="Arial"/>
        </w:rPr>
      </w:pPr>
    </w:p>
    <w:p w14:paraId="71B17838" w14:textId="77777777" w:rsidR="00BB480F" w:rsidRPr="00500A4F" w:rsidRDefault="00BB480F" w:rsidP="00B0463F">
      <w:pPr>
        <w:rPr>
          <w:rFonts w:ascii="Tenorite" w:hAnsi="Tenorite" w:cs="Arial"/>
        </w:rPr>
      </w:pPr>
      <w:r w:rsidRPr="00500A4F">
        <w:rPr>
          <w:rFonts w:ascii="Tenorite" w:hAnsi="Tenorite" w:cs="Arial"/>
        </w:rPr>
        <w:br w:type="page"/>
      </w:r>
      <w:r w:rsidRPr="00500A4F">
        <w:rPr>
          <w:rFonts w:ascii="Tenorite" w:hAnsi="Tenorite" w:cs="Arial"/>
        </w:rPr>
        <w:lastRenderedPageBreak/>
        <w:t xml:space="preserve"> </w:t>
      </w:r>
    </w:p>
    <w:tbl>
      <w:tblPr>
        <w:tblStyle w:val="TableGrid"/>
        <w:tblpPr w:leftFromText="180" w:rightFromText="180" w:vertAnchor="text" w:tblpY="11"/>
        <w:tblW w:w="15446" w:type="dxa"/>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5446"/>
      </w:tblGrid>
      <w:tr w:rsidR="00BB480F" w:rsidRPr="00500A4F" w14:paraId="15F50E11" w14:textId="77777777" w:rsidTr="00AB5FA7">
        <w:tc>
          <w:tcPr>
            <w:tcW w:w="15446" w:type="dxa"/>
            <w:shd w:val="clear" w:color="auto" w:fill="auto"/>
          </w:tcPr>
          <w:p w14:paraId="405DFC79" w14:textId="7B07A746" w:rsidR="00BB480F" w:rsidRPr="006E4D17" w:rsidRDefault="00BB480F" w:rsidP="00E33027">
            <w:pPr>
              <w:rPr>
                <w:rFonts w:ascii="Tenorite" w:hAnsi="Tenorite" w:cs="Arial"/>
                <w:b/>
                <w:bCs/>
                <w:color w:val="auto"/>
                <w:sz w:val="36"/>
                <w:szCs w:val="36"/>
              </w:rPr>
            </w:pPr>
            <w:r w:rsidRPr="006E4D17">
              <w:rPr>
                <w:rFonts w:ascii="Tenorite" w:hAnsi="Tenorite" w:cs="Arial"/>
                <w:b/>
                <w:bCs/>
                <w:color w:val="auto"/>
                <w:sz w:val="36"/>
                <w:szCs w:val="36"/>
              </w:rPr>
              <w:t>EDS Organisation Rating (overall rating):</w:t>
            </w:r>
            <w:r w:rsidR="00A03573" w:rsidRPr="006E4D17">
              <w:rPr>
                <w:rFonts w:ascii="Tenorite" w:hAnsi="Tenorite" w:cs="Arial"/>
                <w:b/>
                <w:bCs/>
                <w:color w:val="auto"/>
                <w:sz w:val="36"/>
                <w:szCs w:val="36"/>
              </w:rPr>
              <w:t xml:space="preserve"> </w:t>
            </w:r>
          </w:p>
          <w:p w14:paraId="05E93595" w14:textId="77777777" w:rsidR="00BB480F" w:rsidRPr="006E4D17" w:rsidRDefault="00BB480F" w:rsidP="00E33027">
            <w:pPr>
              <w:rPr>
                <w:rFonts w:ascii="Tenorite" w:hAnsi="Tenorite" w:cs="Arial"/>
                <w:b/>
                <w:bCs/>
                <w:color w:val="auto"/>
                <w:sz w:val="20"/>
                <w:szCs w:val="20"/>
              </w:rPr>
            </w:pPr>
          </w:p>
          <w:p w14:paraId="22AE2DA3" w14:textId="30E5F6E2" w:rsidR="006E4D17" w:rsidRPr="006E4D17" w:rsidRDefault="0044557E" w:rsidP="006E4D17">
            <w:pPr>
              <w:jc w:val="center"/>
              <w:rPr>
                <w:rFonts w:ascii="Tenorite" w:hAnsi="Tenorite" w:cs="Arial"/>
                <w:b/>
                <w:bCs/>
                <w:color w:val="auto"/>
                <w:sz w:val="48"/>
                <w:szCs w:val="48"/>
              </w:rPr>
            </w:pPr>
            <w:r>
              <w:rPr>
                <w:rFonts w:ascii="Tenorite" w:hAnsi="Tenorite" w:cs="Arial"/>
                <w:b/>
                <w:bCs/>
                <w:color w:val="auto"/>
                <w:sz w:val="48"/>
                <w:szCs w:val="48"/>
              </w:rPr>
              <w:t>1</w:t>
            </w:r>
            <w:r w:rsidR="004A3123">
              <w:rPr>
                <w:rFonts w:ascii="Tenorite" w:hAnsi="Tenorite" w:cs="Arial"/>
                <w:b/>
                <w:bCs/>
                <w:color w:val="auto"/>
                <w:sz w:val="48"/>
                <w:szCs w:val="48"/>
              </w:rPr>
              <w:t>7</w:t>
            </w:r>
            <w:r w:rsidR="006E4D17" w:rsidRPr="006E4D17">
              <w:rPr>
                <w:rFonts w:ascii="Tenorite" w:hAnsi="Tenorite" w:cs="Arial"/>
                <w:b/>
                <w:bCs/>
                <w:color w:val="auto"/>
                <w:sz w:val="48"/>
                <w:szCs w:val="48"/>
              </w:rPr>
              <w:t xml:space="preserve"> </w:t>
            </w:r>
            <w:r w:rsidR="00AB5FA7">
              <w:rPr>
                <w:rFonts w:ascii="Tenorite" w:hAnsi="Tenorite" w:cs="Arial"/>
                <w:b/>
                <w:bCs/>
                <w:color w:val="auto"/>
                <w:sz w:val="48"/>
                <w:szCs w:val="48"/>
              </w:rPr>
              <w:t>–</w:t>
            </w:r>
            <w:r w:rsidR="006E4D17" w:rsidRPr="006E4D17">
              <w:rPr>
                <w:rFonts w:ascii="Tenorite" w:hAnsi="Tenorite" w:cs="Arial"/>
                <w:b/>
                <w:bCs/>
                <w:color w:val="auto"/>
                <w:sz w:val="48"/>
                <w:szCs w:val="48"/>
              </w:rPr>
              <w:t xml:space="preserve"> </w:t>
            </w:r>
            <w:r w:rsidR="006E4D17" w:rsidRPr="00AB5FA7">
              <w:rPr>
                <w:rFonts w:ascii="Tenorite" w:hAnsi="Tenorite" w:cs="Arial"/>
                <w:b/>
                <w:bCs/>
                <w:color w:val="1991C2" w:themeColor="accent4" w:themeShade="BF"/>
                <w:sz w:val="48"/>
                <w:szCs w:val="48"/>
              </w:rPr>
              <w:t>DEVELOPING</w:t>
            </w:r>
          </w:p>
          <w:p w14:paraId="7D4688A5" w14:textId="13125E37" w:rsidR="006E4D17" w:rsidRPr="006E4D17" w:rsidRDefault="006E4D17" w:rsidP="00E33027">
            <w:pPr>
              <w:rPr>
                <w:rFonts w:ascii="Tenorite" w:hAnsi="Tenorite" w:cs="Arial"/>
                <w:b/>
                <w:bCs/>
                <w:color w:val="auto"/>
                <w:sz w:val="20"/>
                <w:szCs w:val="20"/>
              </w:rPr>
            </w:pPr>
            <w:r w:rsidRPr="006E4D17">
              <w:rPr>
                <w:rFonts w:ascii="Tenorite" w:hAnsi="Tenorite" w:cs="Arial"/>
                <w:b/>
                <w:bCs/>
                <w:color w:val="auto"/>
                <w:sz w:val="20"/>
                <w:szCs w:val="20"/>
              </w:rPr>
              <w:t xml:space="preserve"> </w:t>
            </w:r>
          </w:p>
        </w:tc>
      </w:tr>
      <w:tr w:rsidR="00BB480F" w:rsidRPr="00500A4F" w14:paraId="1042AAF6" w14:textId="77777777" w:rsidTr="00AF2A11">
        <w:tc>
          <w:tcPr>
            <w:tcW w:w="15446" w:type="dxa"/>
            <w:shd w:val="clear" w:color="auto" w:fill="BDDEFF" w:themeFill="accent1" w:themeFillTint="33"/>
          </w:tcPr>
          <w:p w14:paraId="752959D8" w14:textId="77777777" w:rsidR="00BB480F" w:rsidRPr="00500A4F" w:rsidRDefault="00BB480F" w:rsidP="00E33027">
            <w:pPr>
              <w:rPr>
                <w:rFonts w:ascii="Tenorite" w:hAnsi="Tenorite" w:cs="Arial"/>
                <w:b/>
                <w:color w:val="auto"/>
                <w:sz w:val="28"/>
                <w:szCs w:val="28"/>
              </w:rPr>
            </w:pPr>
            <w:r w:rsidRPr="00500A4F">
              <w:rPr>
                <w:rFonts w:ascii="Tenorite" w:hAnsi="Tenorite" w:cs="Arial"/>
                <w:b/>
                <w:color w:val="auto"/>
                <w:sz w:val="36"/>
                <w:szCs w:val="36"/>
              </w:rPr>
              <w:t xml:space="preserve">Organisation name(s): </w:t>
            </w:r>
          </w:p>
          <w:p w14:paraId="4E68B219" w14:textId="4A44867A" w:rsidR="00BB480F" w:rsidRPr="00500A4F" w:rsidRDefault="00A03573" w:rsidP="00E33027">
            <w:pPr>
              <w:rPr>
                <w:rFonts w:ascii="Tenorite" w:hAnsi="Tenorite" w:cs="Arial"/>
                <w:bCs/>
                <w:color w:val="auto"/>
                <w:sz w:val="28"/>
                <w:szCs w:val="28"/>
              </w:rPr>
            </w:pPr>
            <w:r w:rsidRPr="00500A4F">
              <w:rPr>
                <w:rFonts w:ascii="Tenorite" w:hAnsi="Tenorite" w:cs="Arial"/>
                <w:bCs/>
                <w:color w:val="auto"/>
                <w:sz w:val="28"/>
                <w:szCs w:val="28"/>
              </w:rPr>
              <w:t>NHS Nottingham and Nottinghamshire Integrated Care Board (ICB)</w:t>
            </w:r>
          </w:p>
          <w:p w14:paraId="21854206" w14:textId="77777777" w:rsidR="00BB480F" w:rsidRPr="00500A4F" w:rsidRDefault="00BB480F" w:rsidP="00E33027">
            <w:pPr>
              <w:rPr>
                <w:rFonts w:ascii="Tenorite" w:hAnsi="Tenorite" w:cs="Arial"/>
                <w:bCs/>
                <w:color w:val="auto"/>
              </w:rPr>
            </w:pPr>
          </w:p>
        </w:tc>
      </w:tr>
      <w:tr w:rsidR="00BB480F" w:rsidRPr="00500A4F" w14:paraId="78E2D1A2" w14:textId="77777777" w:rsidTr="00AF2A11">
        <w:tc>
          <w:tcPr>
            <w:tcW w:w="15446" w:type="dxa"/>
          </w:tcPr>
          <w:p w14:paraId="0B81DD8C" w14:textId="77777777" w:rsidR="00BB480F" w:rsidRPr="00500A4F" w:rsidRDefault="00BB480F" w:rsidP="00E33027">
            <w:pPr>
              <w:rPr>
                <w:rFonts w:ascii="Tenorite" w:hAnsi="Tenorite" w:cs="Arial"/>
              </w:rPr>
            </w:pPr>
          </w:p>
          <w:p w14:paraId="101CFC82" w14:textId="77777777" w:rsidR="00BB480F" w:rsidRPr="00500A4F" w:rsidRDefault="00BB480F" w:rsidP="00E33027">
            <w:pPr>
              <w:rPr>
                <w:rFonts w:ascii="Tenorite" w:hAnsi="Tenorite" w:cs="Arial"/>
              </w:rPr>
            </w:pPr>
            <w:r w:rsidRPr="00500A4F">
              <w:rPr>
                <w:rFonts w:ascii="Tenorite" w:hAnsi="Tenorite" w:cs="Arial"/>
              </w:rPr>
              <w:t xml:space="preserve">Those who score </w:t>
            </w:r>
            <w:r w:rsidRPr="00500A4F">
              <w:rPr>
                <w:rFonts w:ascii="Tenorite" w:hAnsi="Tenorite" w:cs="Arial"/>
                <w:b/>
              </w:rPr>
              <w:t>under 8,</w:t>
            </w:r>
            <w:r w:rsidRPr="00500A4F">
              <w:rPr>
                <w:rFonts w:ascii="Tenorite" w:hAnsi="Tenorite" w:cs="Arial"/>
              </w:rPr>
              <w:t xml:space="preserve"> adding all outcome scores in all domains, are rated </w:t>
            </w:r>
            <w:proofErr w:type="gramStart"/>
            <w:r w:rsidRPr="00500A4F">
              <w:rPr>
                <w:rFonts w:ascii="Tenorite" w:hAnsi="Tenorite" w:cs="Arial"/>
                <w:b/>
                <w:color w:val="C00000"/>
              </w:rPr>
              <w:t>Undeveloped</w:t>
            </w:r>
            <w:proofErr w:type="gramEnd"/>
            <w:r w:rsidRPr="00500A4F">
              <w:rPr>
                <w:rFonts w:ascii="Tenorite" w:hAnsi="Tenorite" w:cs="Arial"/>
              </w:rPr>
              <w:t xml:space="preserve"> </w:t>
            </w:r>
          </w:p>
          <w:p w14:paraId="430FC6FE" w14:textId="77777777" w:rsidR="00BB480F" w:rsidRPr="00500A4F" w:rsidRDefault="00BB480F" w:rsidP="00E33027">
            <w:pPr>
              <w:rPr>
                <w:rFonts w:ascii="Tenorite" w:hAnsi="Tenorite" w:cs="Arial"/>
              </w:rPr>
            </w:pPr>
          </w:p>
          <w:p w14:paraId="4F51C7DA" w14:textId="1920CB5B" w:rsidR="00BB480F" w:rsidRPr="00500A4F" w:rsidRDefault="00BB480F" w:rsidP="00E33027">
            <w:pPr>
              <w:rPr>
                <w:rFonts w:ascii="Tenorite" w:hAnsi="Tenorite" w:cs="Arial"/>
                <w:b/>
                <w:color w:val="1991C2" w:themeColor="accent4" w:themeShade="BF"/>
              </w:rPr>
            </w:pPr>
            <w:r w:rsidRPr="00500A4F">
              <w:rPr>
                <w:rFonts w:ascii="Tenorite" w:hAnsi="Tenorite" w:cs="Arial"/>
              </w:rPr>
              <w:t xml:space="preserve">Those who score </w:t>
            </w:r>
            <w:r w:rsidRPr="00500A4F">
              <w:rPr>
                <w:rFonts w:ascii="Tenorite" w:hAnsi="Tenorite" w:cs="Arial"/>
                <w:b/>
              </w:rPr>
              <w:t>between 8 and 21,</w:t>
            </w:r>
            <w:r w:rsidRPr="00500A4F">
              <w:rPr>
                <w:rFonts w:ascii="Tenorite" w:hAnsi="Tenorite" w:cs="Arial"/>
              </w:rPr>
              <w:t xml:space="preserve"> adding all outcome scores in all domains, are rated </w:t>
            </w:r>
            <w:r w:rsidR="00847F5D" w:rsidRPr="00500A4F">
              <w:rPr>
                <w:rFonts w:ascii="Tenorite" w:hAnsi="Tenorite" w:cs="Arial"/>
              </w:rPr>
              <w:t xml:space="preserve">as </w:t>
            </w:r>
            <w:proofErr w:type="gramStart"/>
            <w:r w:rsidRPr="00AB5FA7">
              <w:rPr>
                <w:rFonts w:ascii="Tenorite" w:hAnsi="Tenorite" w:cs="Arial"/>
                <w:b/>
                <w:color w:val="1991C2" w:themeColor="accent4" w:themeShade="BF"/>
              </w:rPr>
              <w:t>Developing</w:t>
            </w:r>
            <w:proofErr w:type="gramEnd"/>
          </w:p>
          <w:p w14:paraId="0F6CDE46" w14:textId="77777777" w:rsidR="00BB480F" w:rsidRPr="00500A4F" w:rsidRDefault="00BB480F" w:rsidP="00E33027">
            <w:pPr>
              <w:rPr>
                <w:rFonts w:ascii="Tenorite" w:hAnsi="Tenorite" w:cs="Arial"/>
              </w:rPr>
            </w:pPr>
          </w:p>
          <w:p w14:paraId="5E97E25E" w14:textId="62DE2D73" w:rsidR="00BB480F" w:rsidRPr="00500A4F" w:rsidRDefault="00BB480F" w:rsidP="00E33027">
            <w:pPr>
              <w:rPr>
                <w:rFonts w:ascii="Tenorite" w:hAnsi="Tenorite" w:cs="Arial"/>
                <w:b/>
                <w:color w:val="00B050"/>
              </w:rPr>
            </w:pPr>
            <w:r w:rsidRPr="00500A4F">
              <w:rPr>
                <w:rFonts w:ascii="Tenorite" w:hAnsi="Tenorite" w:cs="Arial"/>
              </w:rPr>
              <w:t xml:space="preserve">Those who score </w:t>
            </w:r>
            <w:r w:rsidRPr="00500A4F">
              <w:rPr>
                <w:rFonts w:ascii="Tenorite" w:hAnsi="Tenorite" w:cs="Arial"/>
                <w:b/>
              </w:rPr>
              <w:t>between 22 and 32,</w:t>
            </w:r>
            <w:r w:rsidRPr="00500A4F">
              <w:rPr>
                <w:rFonts w:ascii="Tenorite" w:hAnsi="Tenorite" w:cs="Arial"/>
              </w:rPr>
              <w:t xml:space="preserve"> adding all outcome scores in all domains, are rated</w:t>
            </w:r>
            <w:r w:rsidRPr="00500A4F">
              <w:rPr>
                <w:rFonts w:ascii="Tenorite" w:hAnsi="Tenorite" w:cs="Arial"/>
                <w:b/>
                <w:color w:val="7030A0"/>
              </w:rPr>
              <w:t xml:space="preserve"> </w:t>
            </w:r>
            <w:r w:rsidR="00847F5D" w:rsidRPr="00500A4F">
              <w:rPr>
                <w:rFonts w:ascii="Tenorite" w:hAnsi="Tenorite" w:cs="Arial"/>
                <w:bCs/>
                <w:color w:val="auto"/>
              </w:rPr>
              <w:t xml:space="preserve">as </w:t>
            </w:r>
            <w:proofErr w:type="gramStart"/>
            <w:r w:rsidRPr="00500A4F">
              <w:rPr>
                <w:rFonts w:ascii="Tenorite" w:hAnsi="Tenorite" w:cs="Arial"/>
                <w:b/>
                <w:color w:val="00B050"/>
              </w:rPr>
              <w:t>Achieving</w:t>
            </w:r>
            <w:proofErr w:type="gramEnd"/>
          </w:p>
          <w:p w14:paraId="03D4202C" w14:textId="77777777" w:rsidR="00BB480F" w:rsidRPr="00500A4F" w:rsidRDefault="00BB480F" w:rsidP="00E33027">
            <w:pPr>
              <w:rPr>
                <w:rFonts w:ascii="Tenorite" w:hAnsi="Tenorite" w:cs="Arial"/>
              </w:rPr>
            </w:pPr>
          </w:p>
          <w:p w14:paraId="7BE2DA4C" w14:textId="41A89644" w:rsidR="00BB480F" w:rsidRPr="00500A4F" w:rsidRDefault="00BB480F" w:rsidP="00E33027">
            <w:pPr>
              <w:rPr>
                <w:rFonts w:ascii="Tenorite" w:hAnsi="Tenorite" w:cs="Arial"/>
              </w:rPr>
            </w:pPr>
            <w:r w:rsidRPr="00500A4F">
              <w:rPr>
                <w:rFonts w:ascii="Tenorite" w:hAnsi="Tenorite" w:cs="Arial"/>
              </w:rPr>
              <w:t xml:space="preserve">Those who score </w:t>
            </w:r>
            <w:r w:rsidRPr="00500A4F">
              <w:rPr>
                <w:rFonts w:ascii="Tenorite" w:hAnsi="Tenorite" w:cs="Arial"/>
                <w:b/>
              </w:rPr>
              <w:t>33,</w:t>
            </w:r>
            <w:r w:rsidRPr="00500A4F">
              <w:rPr>
                <w:rFonts w:ascii="Tenorite" w:hAnsi="Tenorite" w:cs="Arial"/>
              </w:rPr>
              <w:t xml:space="preserve"> adding all outcome scores in all domains, are rated</w:t>
            </w:r>
            <w:r w:rsidRPr="00500A4F">
              <w:rPr>
                <w:rFonts w:ascii="Tenorite" w:hAnsi="Tenorite" w:cs="Arial"/>
                <w:b/>
                <w:color w:val="7030A0"/>
              </w:rPr>
              <w:t xml:space="preserve"> </w:t>
            </w:r>
            <w:r w:rsidR="00847F5D" w:rsidRPr="00500A4F">
              <w:rPr>
                <w:rFonts w:ascii="Tenorite" w:hAnsi="Tenorite" w:cs="Arial"/>
                <w:bCs/>
                <w:color w:val="auto"/>
              </w:rPr>
              <w:t xml:space="preserve">as </w:t>
            </w:r>
            <w:proofErr w:type="gramStart"/>
            <w:r w:rsidRPr="00500A4F">
              <w:rPr>
                <w:rFonts w:ascii="Tenorite" w:hAnsi="Tenorite" w:cs="Arial"/>
                <w:b/>
                <w:color w:val="7030A0"/>
              </w:rPr>
              <w:t>Excelling</w:t>
            </w:r>
            <w:proofErr w:type="gramEnd"/>
          </w:p>
          <w:p w14:paraId="48DD9D28" w14:textId="77777777" w:rsidR="00BB480F" w:rsidRPr="00500A4F" w:rsidRDefault="00BB480F" w:rsidP="00E33027">
            <w:pPr>
              <w:rPr>
                <w:rFonts w:ascii="Tenorite" w:hAnsi="Tenorite" w:cs="Arial"/>
                <w:color w:val="7030A0"/>
              </w:rPr>
            </w:pPr>
          </w:p>
        </w:tc>
      </w:tr>
    </w:tbl>
    <w:p w14:paraId="53E162B9" w14:textId="77777777" w:rsidR="00AF2A11" w:rsidRPr="00500A4F" w:rsidRDefault="00AF2A11" w:rsidP="00BB480F">
      <w:pPr>
        <w:rPr>
          <w:rFonts w:ascii="Tenorite" w:hAnsi="Tenorite" w:cs="Arial"/>
        </w:rPr>
      </w:pPr>
    </w:p>
    <w:p w14:paraId="3924C2B8" w14:textId="0DE6692E" w:rsidR="00D05380" w:rsidRPr="00500A4F" w:rsidRDefault="00D05380" w:rsidP="00F86A73">
      <w:pPr>
        <w:pStyle w:val="BodyText"/>
        <w:rPr>
          <w:rFonts w:ascii="Tenorite" w:hAnsi="Tenorite" w:cs="Arial"/>
        </w:rPr>
      </w:pPr>
    </w:p>
    <w:p w14:paraId="59C05D94" w14:textId="77777777" w:rsidR="00AB1EEE" w:rsidRPr="00500A4F" w:rsidRDefault="00AB1EEE">
      <w:pPr>
        <w:rPr>
          <w:rFonts w:ascii="Tenorite" w:hAnsi="Tenorite" w:cs="Arial"/>
        </w:rPr>
        <w:sectPr w:rsidR="00AB1EEE" w:rsidRPr="00500A4F" w:rsidSect="00FA2623">
          <w:pgSz w:w="16838" w:h="11906" w:orient="landscape" w:code="9"/>
          <w:pgMar w:top="720" w:right="720" w:bottom="1440" w:left="720" w:header="624" w:footer="510" w:gutter="0"/>
          <w:cols w:space="708"/>
          <w:docGrid w:linePitch="360"/>
        </w:sectPr>
      </w:pPr>
    </w:p>
    <w:p w14:paraId="662BB6CA" w14:textId="5CF41DC0" w:rsidR="00087FD8" w:rsidRPr="004A3123" w:rsidRDefault="00C838F2" w:rsidP="0095676B">
      <w:pPr>
        <w:pStyle w:val="Heading3"/>
      </w:pPr>
      <w:bookmarkStart w:id="11" w:name="_Hlk163747024"/>
      <w:bookmarkStart w:id="12" w:name="_Ref166834109"/>
      <w:r w:rsidRPr="004A3123">
        <w:lastRenderedPageBreak/>
        <w:t xml:space="preserve">Appendix 1 – Data </w:t>
      </w:r>
      <w:r w:rsidR="00AD433F" w:rsidRPr="004A3123">
        <w:t>S</w:t>
      </w:r>
      <w:r w:rsidRPr="004A3123">
        <w:t>ources</w:t>
      </w:r>
      <w:bookmarkEnd w:id="12"/>
    </w:p>
    <w:p w14:paraId="4DF0BCB8" w14:textId="41E89B60" w:rsidR="00A933EF" w:rsidRPr="004A3123" w:rsidRDefault="00A933EF">
      <w:pPr>
        <w:rPr>
          <w:rFonts w:cs="Arial"/>
        </w:rPr>
      </w:pPr>
    </w:p>
    <w:p w14:paraId="5FEEDE35" w14:textId="24666C4A" w:rsidR="00A933EF" w:rsidRPr="004A3123" w:rsidRDefault="00A933EF">
      <w:pPr>
        <w:rPr>
          <w:rFonts w:cs="Arial"/>
        </w:rPr>
      </w:pPr>
      <w:r w:rsidRPr="004A3123">
        <w:rPr>
          <w:rFonts w:cs="Arial"/>
        </w:rPr>
        <w:t xml:space="preserve">Over recent years the ICB has been developing the Systems Analytical Intelligence Unit (SAIU), </w:t>
      </w:r>
      <w:proofErr w:type="gramStart"/>
      <w:r w:rsidRPr="004A3123">
        <w:rPr>
          <w:rFonts w:cs="Arial"/>
        </w:rPr>
        <w:t>in order to</w:t>
      </w:r>
      <w:proofErr w:type="gramEnd"/>
      <w:r w:rsidRPr="004A3123">
        <w:rPr>
          <w:rFonts w:cs="Arial"/>
        </w:rPr>
        <w:t xml:space="preserve"> collate data on Nottingham system services and understand their performance both from a contractual and quality position.</w:t>
      </w:r>
    </w:p>
    <w:p w14:paraId="2CFEABF9" w14:textId="77777777" w:rsidR="00A933EF" w:rsidRPr="004A3123" w:rsidRDefault="00A933EF">
      <w:pPr>
        <w:rPr>
          <w:rFonts w:cs="Arial"/>
        </w:rPr>
      </w:pPr>
    </w:p>
    <w:p w14:paraId="04F3232B" w14:textId="1778890E" w:rsidR="00A933EF" w:rsidRPr="004A3123" w:rsidRDefault="00A933EF">
      <w:pPr>
        <w:rPr>
          <w:rFonts w:cs="Arial"/>
        </w:rPr>
      </w:pPr>
      <w:r w:rsidRPr="004A3123">
        <w:rPr>
          <w:rFonts w:cs="Arial"/>
        </w:rPr>
        <w:t xml:space="preserve">The SAIU has developed </w:t>
      </w:r>
      <w:r w:rsidR="00AD433F" w:rsidRPr="004A3123">
        <w:rPr>
          <w:rFonts w:cs="Arial"/>
        </w:rPr>
        <w:t xml:space="preserve">dashboards to evidence the performance of services. This data is drawn for </w:t>
      </w:r>
      <w:proofErr w:type="gramStart"/>
      <w:r w:rsidR="00AD433F" w:rsidRPr="004A3123">
        <w:rPr>
          <w:rFonts w:cs="Arial"/>
        </w:rPr>
        <w:t>a number of</w:t>
      </w:r>
      <w:proofErr w:type="gramEnd"/>
      <w:r w:rsidR="00AD433F" w:rsidRPr="004A3123">
        <w:rPr>
          <w:rFonts w:cs="Arial"/>
        </w:rPr>
        <w:t xml:space="preserve"> sources including NHS England’s national data sets and </w:t>
      </w:r>
      <w:r w:rsidR="00F1709F" w:rsidRPr="004A3123">
        <w:rPr>
          <w:rFonts w:cs="Arial"/>
        </w:rPr>
        <w:t xml:space="preserve">locally collated data to inform performance. </w:t>
      </w:r>
    </w:p>
    <w:p w14:paraId="0BBC7C42" w14:textId="77777777" w:rsidR="00F1709F" w:rsidRPr="004A3123" w:rsidRDefault="00F1709F">
      <w:pPr>
        <w:rPr>
          <w:rFonts w:cs="Arial"/>
        </w:rPr>
      </w:pPr>
    </w:p>
    <w:p w14:paraId="27790BCB" w14:textId="5635EE92" w:rsidR="00F1709F" w:rsidRPr="004A3123" w:rsidRDefault="00F1709F">
      <w:pPr>
        <w:rPr>
          <w:rFonts w:cs="Arial"/>
        </w:rPr>
      </w:pPr>
      <w:r w:rsidRPr="004A3123">
        <w:rPr>
          <w:rFonts w:cs="Arial"/>
        </w:rPr>
        <w:t xml:space="preserve">Figure 1 provides a </w:t>
      </w:r>
      <w:proofErr w:type="gramStart"/>
      <w:r w:rsidRPr="004A3123">
        <w:rPr>
          <w:rFonts w:cs="Arial"/>
        </w:rPr>
        <w:t>snap shot</w:t>
      </w:r>
      <w:proofErr w:type="gramEnd"/>
      <w:r w:rsidRPr="004A3123">
        <w:rPr>
          <w:rFonts w:cs="Arial"/>
        </w:rPr>
        <w:t xml:space="preserve"> to the type of performance data for an overall service area. This can be drilled down to specific services </w:t>
      </w:r>
      <w:proofErr w:type="spellStart"/>
      <w:r w:rsidRPr="004A3123">
        <w:rPr>
          <w:rFonts w:cs="Arial"/>
        </w:rPr>
        <w:t>i.e</w:t>
      </w:r>
      <w:proofErr w:type="spellEnd"/>
      <w:r w:rsidRPr="004A3123">
        <w:rPr>
          <w:rFonts w:cs="Arial"/>
        </w:rPr>
        <w:t xml:space="preserve"> </w:t>
      </w:r>
      <w:proofErr w:type="gramStart"/>
      <w:r w:rsidRPr="004A3123">
        <w:rPr>
          <w:rFonts w:cs="Arial"/>
        </w:rPr>
        <w:t>IAPT</w:t>
      </w:r>
      <w:proofErr w:type="gramEnd"/>
    </w:p>
    <w:p w14:paraId="232B9D71" w14:textId="77777777" w:rsidR="00A933EF" w:rsidRPr="004A3123" w:rsidRDefault="00A933EF">
      <w:pPr>
        <w:rPr>
          <w:rFonts w:cs="Arial"/>
        </w:rPr>
      </w:pPr>
    </w:p>
    <w:p w14:paraId="315F950E" w14:textId="77777777" w:rsidR="00A933EF" w:rsidRPr="004A3123" w:rsidRDefault="00A933EF">
      <w:pPr>
        <w:rPr>
          <w:rFonts w:cs="Arial"/>
        </w:rPr>
      </w:pPr>
    </w:p>
    <w:p w14:paraId="58B4C2F9" w14:textId="372AF5A2" w:rsidR="00A933EF" w:rsidRPr="004A3123" w:rsidRDefault="00F1709F">
      <w:pPr>
        <w:rPr>
          <w:rFonts w:cs="Arial"/>
        </w:rPr>
      </w:pPr>
      <w:r w:rsidRPr="004A3123">
        <w:rPr>
          <w:rFonts w:cs="Arial"/>
        </w:rPr>
        <w:t>Figure 1.</w:t>
      </w:r>
    </w:p>
    <w:p w14:paraId="1218B531" w14:textId="348490F9" w:rsidR="00A933EF" w:rsidRPr="004A3123" w:rsidRDefault="00A933EF">
      <w:pPr>
        <w:rPr>
          <w:rFonts w:cs="Arial"/>
        </w:rPr>
      </w:pPr>
      <w:r w:rsidRPr="004A3123">
        <w:rPr>
          <w:rFonts w:cs="Arial"/>
          <w:noProof/>
        </w:rPr>
        <w:drawing>
          <wp:inline distT="0" distB="0" distL="0" distR="0" wp14:anchorId="7B4073CF" wp14:editId="54E9DE99">
            <wp:extent cx="5647055" cy="2612390"/>
            <wp:effectExtent l="0" t="0" r="0" b="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47055" cy="2612390"/>
                    </a:xfrm>
                    <a:prstGeom prst="rect">
                      <a:avLst/>
                    </a:prstGeom>
                    <a:noFill/>
                    <a:ln>
                      <a:noFill/>
                    </a:ln>
                  </pic:spPr>
                </pic:pic>
              </a:graphicData>
            </a:graphic>
          </wp:inline>
        </w:drawing>
      </w:r>
    </w:p>
    <w:p w14:paraId="1B381589" w14:textId="77777777" w:rsidR="002B7F40" w:rsidRDefault="002B7F40">
      <w:pPr>
        <w:rPr>
          <w:rFonts w:cs="Arial"/>
        </w:rPr>
      </w:pPr>
    </w:p>
    <w:p w14:paraId="1EA95B73" w14:textId="77777777" w:rsidR="002B7F40" w:rsidRPr="004A3123" w:rsidRDefault="002B7F40">
      <w:pPr>
        <w:rPr>
          <w:rFonts w:cs="Arial"/>
        </w:rPr>
      </w:pPr>
    </w:p>
    <w:p w14:paraId="1125F38E" w14:textId="4F8C6828" w:rsidR="00F1709F" w:rsidRPr="004A3123" w:rsidRDefault="00F1709F">
      <w:pPr>
        <w:rPr>
          <w:rFonts w:cs="Arial"/>
        </w:rPr>
      </w:pPr>
      <w:r w:rsidRPr="004A3123">
        <w:rPr>
          <w:rFonts w:cs="Arial"/>
        </w:rPr>
        <w:t>In addition to the operational/contractual performance of services across Nottingham and Nottinghamshire, the SAIU are developing a Quality dashboard.</w:t>
      </w:r>
    </w:p>
    <w:p w14:paraId="51CC1654" w14:textId="77777777" w:rsidR="00F1709F" w:rsidRPr="004A3123" w:rsidRDefault="00F1709F">
      <w:pPr>
        <w:rPr>
          <w:rFonts w:cs="Arial"/>
        </w:rPr>
      </w:pPr>
    </w:p>
    <w:p w14:paraId="1D7BFD73" w14:textId="39040489" w:rsidR="00F1709F" w:rsidRPr="004A3123" w:rsidRDefault="00F1709F">
      <w:pPr>
        <w:rPr>
          <w:rFonts w:cs="Arial"/>
        </w:rPr>
      </w:pPr>
      <w:r w:rsidRPr="004A3123">
        <w:rPr>
          <w:rFonts w:cs="Arial"/>
        </w:rPr>
        <w:t xml:space="preserve">The Quality Dashboard allows the ICB to monitor and manage the performance of services, against quality metrics. This allows the ICB to identify problems, </w:t>
      </w:r>
      <w:proofErr w:type="gramStart"/>
      <w:r w:rsidRPr="004A3123">
        <w:rPr>
          <w:rFonts w:cs="Arial"/>
        </w:rPr>
        <w:t>progress</w:t>
      </w:r>
      <w:proofErr w:type="gramEnd"/>
      <w:r w:rsidRPr="004A3123">
        <w:rPr>
          <w:rFonts w:cs="Arial"/>
        </w:rPr>
        <w:t xml:space="preserve"> and trends across the providers.</w:t>
      </w:r>
    </w:p>
    <w:p w14:paraId="3F3C4654" w14:textId="77777777" w:rsidR="00F1709F" w:rsidRPr="004A3123" w:rsidRDefault="00F1709F">
      <w:pPr>
        <w:rPr>
          <w:rFonts w:cs="Arial"/>
        </w:rPr>
      </w:pPr>
    </w:p>
    <w:p w14:paraId="532796F8" w14:textId="6C622928" w:rsidR="00F1709F" w:rsidRPr="004A3123" w:rsidRDefault="00F1709F">
      <w:pPr>
        <w:rPr>
          <w:rFonts w:cs="Arial"/>
        </w:rPr>
      </w:pPr>
      <w:r w:rsidRPr="004A3123">
        <w:rPr>
          <w:rFonts w:cs="Arial"/>
        </w:rPr>
        <w:t xml:space="preserve">Areas that are included within the Quality Dashboard include – safety, harm free care, patient experience, CQC ratings, </w:t>
      </w:r>
      <w:proofErr w:type="gramStart"/>
      <w:r w:rsidRPr="004A3123">
        <w:rPr>
          <w:rFonts w:cs="Arial"/>
        </w:rPr>
        <w:t>workforce</w:t>
      </w:r>
      <w:proofErr w:type="gramEnd"/>
      <w:r w:rsidRPr="004A3123">
        <w:rPr>
          <w:rFonts w:cs="Arial"/>
        </w:rPr>
        <w:t xml:space="preserve"> and infection prevention. </w:t>
      </w:r>
    </w:p>
    <w:p w14:paraId="5111D8B4" w14:textId="77777777" w:rsidR="00F1709F" w:rsidRPr="004A3123" w:rsidRDefault="00F1709F">
      <w:pPr>
        <w:rPr>
          <w:rFonts w:cs="Arial"/>
        </w:rPr>
      </w:pPr>
    </w:p>
    <w:p w14:paraId="0A0B365A" w14:textId="77777777" w:rsidR="00003B57" w:rsidRDefault="00003B57">
      <w:pPr>
        <w:rPr>
          <w:rFonts w:cs="Arial"/>
        </w:rPr>
      </w:pPr>
    </w:p>
    <w:p w14:paraId="4F78819E" w14:textId="77777777" w:rsidR="00003B57" w:rsidRDefault="00003B57">
      <w:pPr>
        <w:rPr>
          <w:rFonts w:cs="Arial"/>
        </w:rPr>
      </w:pPr>
    </w:p>
    <w:p w14:paraId="0E87F041" w14:textId="77777777" w:rsidR="00003B57" w:rsidRDefault="00003B57">
      <w:pPr>
        <w:rPr>
          <w:rFonts w:cs="Arial"/>
        </w:rPr>
      </w:pPr>
    </w:p>
    <w:p w14:paraId="0B13205B" w14:textId="77777777" w:rsidR="00003B57" w:rsidRDefault="00003B57">
      <w:pPr>
        <w:rPr>
          <w:rFonts w:cs="Arial"/>
        </w:rPr>
      </w:pPr>
    </w:p>
    <w:p w14:paraId="713D2FE0" w14:textId="77777777" w:rsidR="00003B57" w:rsidRDefault="00003B57">
      <w:pPr>
        <w:rPr>
          <w:rFonts w:cs="Arial"/>
        </w:rPr>
      </w:pPr>
    </w:p>
    <w:p w14:paraId="2843ADAB" w14:textId="77777777" w:rsidR="00003B57" w:rsidRDefault="00003B57">
      <w:pPr>
        <w:rPr>
          <w:rFonts w:cs="Arial"/>
        </w:rPr>
      </w:pPr>
    </w:p>
    <w:p w14:paraId="1F911243" w14:textId="77777777" w:rsidR="00003B57" w:rsidRDefault="00003B57">
      <w:pPr>
        <w:rPr>
          <w:rFonts w:cs="Arial"/>
        </w:rPr>
      </w:pPr>
    </w:p>
    <w:p w14:paraId="6C49390D" w14:textId="77777777" w:rsidR="00003B57" w:rsidRDefault="00003B57">
      <w:pPr>
        <w:rPr>
          <w:rFonts w:cs="Arial"/>
        </w:rPr>
      </w:pPr>
    </w:p>
    <w:p w14:paraId="68B1577D" w14:textId="77777777" w:rsidR="00003B57" w:rsidRDefault="00003B57">
      <w:pPr>
        <w:rPr>
          <w:rFonts w:cs="Arial"/>
        </w:rPr>
      </w:pPr>
    </w:p>
    <w:p w14:paraId="39E6D605" w14:textId="77777777" w:rsidR="00003B57" w:rsidRDefault="00003B57">
      <w:pPr>
        <w:rPr>
          <w:rFonts w:cs="Arial"/>
        </w:rPr>
      </w:pPr>
    </w:p>
    <w:p w14:paraId="0469B733" w14:textId="77777777" w:rsidR="00003B57" w:rsidRDefault="00003B57">
      <w:pPr>
        <w:rPr>
          <w:rFonts w:cs="Arial"/>
        </w:rPr>
      </w:pPr>
    </w:p>
    <w:p w14:paraId="6523D66E" w14:textId="77777777" w:rsidR="00003B57" w:rsidRDefault="00003B57">
      <w:pPr>
        <w:rPr>
          <w:rFonts w:cs="Arial"/>
        </w:rPr>
      </w:pPr>
    </w:p>
    <w:p w14:paraId="7FB35CB8" w14:textId="10B404AB" w:rsidR="00F1709F" w:rsidRPr="004A3123" w:rsidRDefault="00F1709F">
      <w:pPr>
        <w:rPr>
          <w:rFonts w:cs="Arial"/>
        </w:rPr>
      </w:pPr>
      <w:r w:rsidRPr="004A3123">
        <w:rPr>
          <w:rFonts w:cs="Arial"/>
        </w:rPr>
        <w:t xml:space="preserve">Figure 2. </w:t>
      </w:r>
    </w:p>
    <w:p w14:paraId="05E6A904" w14:textId="3F244437" w:rsidR="00F1709F" w:rsidRPr="004A3123" w:rsidRDefault="00F1709F">
      <w:pPr>
        <w:rPr>
          <w:rFonts w:cs="Arial"/>
        </w:rPr>
      </w:pPr>
      <w:r w:rsidRPr="004A3123">
        <w:rPr>
          <w:rFonts w:cs="Arial"/>
          <w:noProof/>
        </w:rPr>
        <w:drawing>
          <wp:inline distT="0" distB="0" distL="0" distR="0" wp14:anchorId="68655E01" wp14:editId="3E0DAED0">
            <wp:extent cx="5648325" cy="2609850"/>
            <wp:effectExtent l="0" t="0" r="9525" b="0"/>
            <wp:docPr id="3"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48325" cy="2609850"/>
                    </a:xfrm>
                    <a:prstGeom prst="rect">
                      <a:avLst/>
                    </a:prstGeom>
                    <a:noFill/>
                    <a:ln>
                      <a:noFill/>
                    </a:ln>
                  </pic:spPr>
                </pic:pic>
              </a:graphicData>
            </a:graphic>
          </wp:inline>
        </w:drawing>
      </w:r>
    </w:p>
    <w:p w14:paraId="1284573E" w14:textId="77777777" w:rsidR="00F1709F" w:rsidRPr="004A3123" w:rsidRDefault="00F1709F">
      <w:pPr>
        <w:rPr>
          <w:rFonts w:cs="Arial"/>
        </w:rPr>
      </w:pPr>
    </w:p>
    <w:bookmarkEnd w:id="11"/>
    <w:p w14:paraId="53BDFA48" w14:textId="77777777" w:rsidR="00F1709F" w:rsidRPr="004A3123" w:rsidRDefault="00F1709F">
      <w:pPr>
        <w:rPr>
          <w:rFonts w:cs="Arial"/>
        </w:rPr>
      </w:pPr>
    </w:p>
    <w:p w14:paraId="6B856F38" w14:textId="77777777" w:rsidR="00F1709F" w:rsidRPr="004A3123" w:rsidRDefault="00F1709F">
      <w:pPr>
        <w:rPr>
          <w:rFonts w:cs="Arial"/>
        </w:rPr>
      </w:pPr>
    </w:p>
    <w:p w14:paraId="5CC43B0F" w14:textId="77777777" w:rsidR="00F1709F" w:rsidRPr="004A3123" w:rsidRDefault="00F1709F">
      <w:pPr>
        <w:rPr>
          <w:rFonts w:cs="Arial"/>
        </w:rPr>
      </w:pPr>
      <w:r w:rsidRPr="004A3123">
        <w:rPr>
          <w:rFonts w:cs="Arial"/>
        </w:rPr>
        <w:br w:type="page"/>
      </w:r>
    </w:p>
    <w:p w14:paraId="19100BC9" w14:textId="4F32DD51" w:rsidR="00C838F2" w:rsidRPr="004A3123" w:rsidRDefault="00C838F2" w:rsidP="0095676B">
      <w:pPr>
        <w:pStyle w:val="Heading3"/>
      </w:pPr>
      <w:bookmarkStart w:id="13" w:name="_Ref166833982"/>
      <w:r w:rsidRPr="004A3123">
        <w:lastRenderedPageBreak/>
        <w:t>Appendix 2 – ICB Patient and Public Engagement</w:t>
      </w:r>
      <w:bookmarkEnd w:id="13"/>
    </w:p>
    <w:p w14:paraId="638DC8B2" w14:textId="77777777" w:rsidR="00EB12B7" w:rsidRPr="004A3123" w:rsidRDefault="00EB12B7">
      <w:pPr>
        <w:rPr>
          <w:rFonts w:cs="Arial"/>
        </w:rPr>
      </w:pPr>
    </w:p>
    <w:p w14:paraId="13506F8E" w14:textId="4C43DA76" w:rsidR="00EB12B7" w:rsidRPr="004A3123" w:rsidRDefault="00EB12B7" w:rsidP="00EB12B7">
      <w:pPr>
        <w:rPr>
          <w:rFonts w:cs="Arial"/>
        </w:rPr>
      </w:pPr>
      <w:r w:rsidRPr="004A3123">
        <w:t>As set out in the ICB’s ‘</w:t>
      </w:r>
      <w:hyperlink r:id="rId24" w:history="1">
        <w:r w:rsidRPr="004A3123">
          <w:rPr>
            <w:rStyle w:val="Hyperlink"/>
          </w:rPr>
          <w:t>Public Involvement and Engagement Policy’</w:t>
        </w:r>
      </w:hyperlink>
      <w:r w:rsidRPr="004A3123">
        <w:t xml:space="preserve"> (1), the ICB is committed to consistently listening to, and collectively acting on, the experience and aspirations of local people and communities through the Integrated Care Board (ICB) and Integrated Care Partnership (ICP) and will work to:</w:t>
      </w:r>
    </w:p>
    <w:p w14:paraId="0FD45D33" w14:textId="77777777" w:rsidR="00EB12B7" w:rsidRPr="004A3123" w:rsidRDefault="00EB12B7" w:rsidP="00441BD5">
      <w:pPr>
        <w:pStyle w:val="ListParagraph"/>
        <w:numPr>
          <w:ilvl w:val="0"/>
          <w:numId w:val="20"/>
        </w:numPr>
        <w:rPr>
          <w:rFonts w:ascii="Calibri" w:hAnsi="Calibri" w:cs="Calibri"/>
        </w:rPr>
      </w:pPr>
      <w:r w:rsidRPr="004A3123">
        <w:t xml:space="preserve">Have a deep understanding of all the people and communities it serves. </w:t>
      </w:r>
    </w:p>
    <w:p w14:paraId="6108335C" w14:textId="77777777" w:rsidR="00EB12B7" w:rsidRPr="004A3123" w:rsidRDefault="00EB12B7" w:rsidP="00441BD5">
      <w:pPr>
        <w:pStyle w:val="ListParagraph"/>
        <w:numPr>
          <w:ilvl w:val="0"/>
          <w:numId w:val="20"/>
        </w:numPr>
      </w:pPr>
      <w:r w:rsidRPr="004A3123">
        <w:t xml:space="preserve">Capture the insights and diverse thinking of people and communities to enable the ICB and ICP to tackle health inequalities and the other challenges faced by health and care systems. </w:t>
      </w:r>
    </w:p>
    <w:p w14:paraId="12A7355A" w14:textId="77777777" w:rsidR="00EB12B7" w:rsidRPr="004A3123" w:rsidRDefault="00EB12B7" w:rsidP="00441BD5">
      <w:pPr>
        <w:pStyle w:val="ListParagraph"/>
        <w:numPr>
          <w:ilvl w:val="0"/>
          <w:numId w:val="20"/>
        </w:numPr>
      </w:pPr>
      <w:r w:rsidRPr="004A3123">
        <w:t xml:space="preserve">Bring fresh opportunities to strengthen work with people and communities, building on existing relationships, </w:t>
      </w:r>
      <w:proofErr w:type="gramStart"/>
      <w:r w:rsidRPr="004A3123">
        <w:t>networks</w:t>
      </w:r>
      <w:proofErr w:type="gramEnd"/>
      <w:r w:rsidRPr="004A3123">
        <w:t xml:space="preserve"> and activities.</w:t>
      </w:r>
    </w:p>
    <w:p w14:paraId="33B68ADF" w14:textId="77777777" w:rsidR="00EB12B7" w:rsidRPr="004A3123" w:rsidRDefault="00EB12B7" w:rsidP="00EB12B7"/>
    <w:p w14:paraId="7CFA6A4B" w14:textId="77777777" w:rsidR="00EB12B7" w:rsidRPr="004A3123" w:rsidRDefault="00EB12B7" w:rsidP="00EB12B7">
      <w:r w:rsidRPr="004A3123">
        <w:t xml:space="preserve">The principles underpin public involvement and engagement in the ICB are based on the guidance (ICS implementation guidance on working with people and communities (2)) but adjusted to reflect the Nottingham and Nottinghamshire context: </w:t>
      </w:r>
    </w:p>
    <w:p w14:paraId="2DCCC4EB" w14:textId="77777777" w:rsidR="00EB12B7" w:rsidRPr="004A3123" w:rsidRDefault="00EB12B7" w:rsidP="00441BD5">
      <w:pPr>
        <w:pStyle w:val="ListParagraph"/>
        <w:numPr>
          <w:ilvl w:val="0"/>
          <w:numId w:val="21"/>
        </w:numPr>
        <w:contextualSpacing w:val="0"/>
      </w:pPr>
      <w:r w:rsidRPr="004A3123">
        <w:t xml:space="preserve">We will work with, and put the needs of, our citizens at the heart of the ICS. </w:t>
      </w:r>
    </w:p>
    <w:p w14:paraId="23AB4703" w14:textId="77777777" w:rsidR="00EB12B7" w:rsidRPr="004A3123" w:rsidRDefault="00EB12B7" w:rsidP="00441BD5">
      <w:pPr>
        <w:pStyle w:val="ListParagraph"/>
        <w:numPr>
          <w:ilvl w:val="0"/>
          <w:numId w:val="21"/>
        </w:numPr>
        <w:contextualSpacing w:val="0"/>
      </w:pPr>
      <w:r w:rsidRPr="004A3123">
        <w:t xml:space="preserve">We will prioritise reaching out to those communities affected by inequalities who are less likely to be heard. </w:t>
      </w:r>
    </w:p>
    <w:p w14:paraId="7CCFF72F" w14:textId="77777777" w:rsidR="00EB12B7" w:rsidRPr="004A3123" w:rsidRDefault="00EB12B7" w:rsidP="00441BD5">
      <w:pPr>
        <w:pStyle w:val="ListParagraph"/>
        <w:numPr>
          <w:ilvl w:val="0"/>
          <w:numId w:val="21"/>
        </w:numPr>
        <w:contextualSpacing w:val="0"/>
      </w:pPr>
      <w:r w:rsidRPr="004A3123">
        <w:t xml:space="preserve">We will use community development approaches that empower people and communities, making connections to social action. </w:t>
      </w:r>
    </w:p>
    <w:p w14:paraId="514AAFA6" w14:textId="77777777" w:rsidR="00EB12B7" w:rsidRPr="004A3123" w:rsidRDefault="00EB12B7" w:rsidP="00441BD5">
      <w:pPr>
        <w:pStyle w:val="ListParagraph"/>
        <w:numPr>
          <w:ilvl w:val="0"/>
          <w:numId w:val="21"/>
        </w:numPr>
        <w:contextualSpacing w:val="0"/>
      </w:pPr>
      <w:r w:rsidRPr="004A3123">
        <w:t xml:space="preserve">We will work with Healthwatch and the voluntary, community and social enterprise sector as key transformation partners. </w:t>
      </w:r>
    </w:p>
    <w:p w14:paraId="39414A99" w14:textId="77777777" w:rsidR="00EB12B7" w:rsidRPr="004A3123" w:rsidRDefault="00EB12B7" w:rsidP="00441BD5">
      <w:pPr>
        <w:pStyle w:val="ListParagraph"/>
        <w:numPr>
          <w:ilvl w:val="0"/>
          <w:numId w:val="21"/>
        </w:numPr>
        <w:contextualSpacing w:val="0"/>
      </w:pPr>
      <w:r w:rsidRPr="004A3123">
        <w:t>We will redesign models of care and progress system priorities in partnership with staff, people who use health, care and support services and unpaid carers.</w:t>
      </w:r>
    </w:p>
    <w:p w14:paraId="18D79A83" w14:textId="77777777" w:rsidR="00EB12B7" w:rsidRPr="004A3123" w:rsidRDefault="00EB12B7" w:rsidP="00441BD5">
      <w:pPr>
        <w:pStyle w:val="ListParagraph"/>
        <w:numPr>
          <w:ilvl w:val="0"/>
          <w:numId w:val="21"/>
        </w:numPr>
        <w:contextualSpacing w:val="0"/>
      </w:pPr>
      <w:r w:rsidRPr="004A3123">
        <w:t xml:space="preserve">We will understand our community’s experience and aspirations for health and care. </w:t>
      </w:r>
    </w:p>
    <w:p w14:paraId="224F5FA5" w14:textId="77777777" w:rsidR="00EB12B7" w:rsidRPr="004A3123" w:rsidRDefault="00EB12B7" w:rsidP="00441BD5">
      <w:pPr>
        <w:pStyle w:val="ListParagraph"/>
        <w:numPr>
          <w:ilvl w:val="0"/>
          <w:numId w:val="21"/>
        </w:numPr>
        <w:contextualSpacing w:val="0"/>
      </w:pPr>
      <w:r w:rsidRPr="004A3123">
        <w:t xml:space="preserve">We will systematically capture and report community intelligence that includes findings drawn from a citizen’s panel, VCS partners, statutory sector partners and networks at Place and neighbourhood level. </w:t>
      </w:r>
    </w:p>
    <w:p w14:paraId="5A14FE6D" w14:textId="77777777" w:rsidR="00EB12B7" w:rsidRPr="004A3123" w:rsidRDefault="00EB12B7" w:rsidP="00441BD5">
      <w:pPr>
        <w:pStyle w:val="ListParagraph"/>
        <w:numPr>
          <w:ilvl w:val="0"/>
          <w:numId w:val="21"/>
        </w:numPr>
        <w:contextualSpacing w:val="0"/>
      </w:pPr>
      <w:r w:rsidRPr="004A3123">
        <w:t xml:space="preserve">We will use insight gathered through a range of engagement approaches to inform decision-making. </w:t>
      </w:r>
    </w:p>
    <w:p w14:paraId="7271925B" w14:textId="77777777" w:rsidR="00EB12B7" w:rsidRPr="004A3123" w:rsidRDefault="00EB12B7" w:rsidP="00441BD5">
      <w:pPr>
        <w:pStyle w:val="ListParagraph"/>
        <w:numPr>
          <w:ilvl w:val="0"/>
          <w:numId w:val="21"/>
        </w:numPr>
        <w:contextualSpacing w:val="0"/>
      </w:pPr>
      <w:r w:rsidRPr="004A3123">
        <w:t xml:space="preserve">We will develop a culture that enables good quality community engagement to be </w:t>
      </w:r>
      <w:proofErr w:type="gramStart"/>
      <w:r w:rsidRPr="004A3123">
        <w:t>embedded</w:t>
      </w:r>
      <w:proofErr w:type="gramEnd"/>
      <w:r w:rsidRPr="004A3123">
        <w:t xml:space="preserve"> </w:t>
      </w:r>
    </w:p>
    <w:p w14:paraId="0A08A971" w14:textId="77777777" w:rsidR="00EB12B7" w:rsidRPr="004A3123" w:rsidRDefault="00EB12B7" w:rsidP="00441BD5">
      <w:pPr>
        <w:pStyle w:val="ListParagraph"/>
        <w:numPr>
          <w:ilvl w:val="0"/>
          <w:numId w:val="21"/>
        </w:numPr>
        <w:contextualSpacing w:val="0"/>
      </w:pPr>
      <w:r w:rsidRPr="004A3123">
        <w:t xml:space="preserve">We will systematically provide clear and accessible public information about vision, plans, </w:t>
      </w:r>
      <w:proofErr w:type="gramStart"/>
      <w:r w:rsidRPr="004A3123">
        <w:t>progress</w:t>
      </w:r>
      <w:proofErr w:type="gramEnd"/>
      <w:r w:rsidRPr="004A3123">
        <w:t xml:space="preserve"> and outcomes to build understanding and trust amongst our citizens. </w:t>
      </w:r>
    </w:p>
    <w:p w14:paraId="09591B9C" w14:textId="77777777" w:rsidR="00EB12B7" w:rsidRPr="004A3123" w:rsidRDefault="00EB12B7" w:rsidP="00EB12B7"/>
    <w:p w14:paraId="3A84F50E" w14:textId="77777777" w:rsidR="00EB12B7" w:rsidRPr="004A3123" w:rsidRDefault="00EB12B7" w:rsidP="00EB12B7">
      <w:r w:rsidRPr="004A3123">
        <w:t>The ICB is committed to working with people and communities and this is evidenced by the work on engagement and coproduction already taking place across the system. The two system-wide strategies for citizen intelligence (3) and coproduction (4) forms our collective system approach to public involvement and engagement.</w:t>
      </w:r>
    </w:p>
    <w:p w14:paraId="19B9FB92" w14:textId="77777777" w:rsidR="00EB12B7" w:rsidRPr="004A3123" w:rsidRDefault="00EB12B7" w:rsidP="00EB12B7"/>
    <w:p w14:paraId="0EF4CF95" w14:textId="77777777" w:rsidR="00EB12B7" w:rsidRPr="004A3123" w:rsidRDefault="00EB12B7" w:rsidP="00EB12B7">
      <w:r w:rsidRPr="004A3123">
        <w:t>References</w:t>
      </w:r>
    </w:p>
    <w:p w14:paraId="60CC3BCD" w14:textId="77777777" w:rsidR="00EB12B7" w:rsidRPr="004A3123" w:rsidRDefault="007C3F63" w:rsidP="00441BD5">
      <w:pPr>
        <w:pStyle w:val="ListParagraph"/>
        <w:numPr>
          <w:ilvl w:val="0"/>
          <w:numId w:val="22"/>
        </w:numPr>
        <w:contextualSpacing w:val="0"/>
      </w:pPr>
      <w:hyperlink r:id="rId25" w:history="1">
        <w:r w:rsidR="00EB12B7" w:rsidRPr="004A3123">
          <w:rPr>
            <w:rStyle w:val="Hyperlink"/>
          </w:rPr>
          <w:t>ENG-001-Public-Involvement-and-Engagement-Policy-v1.2.pdf (icb.nhs.uk)</w:t>
        </w:r>
      </w:hyperlink>
    </w:p>
    <w:p w14:paraId="161F1BEA" w14:textId="77777777" w:rsidR="00EB12B7" w:rsidRPr="004A3123" w:rsidRDefault="007C3F63" w:rsidP="00441BD5">
      <w:pPr>
        <w:pStyle w:val="ListParagraph"/>
        <w:numPr>
          <w:ilvl w:val="0"/>
          <w:numId w:val="22"/>
        </w:numPr>
        <w:contextualSpacing w:val="0"/>
      </w:pPr>
      <w:hyperlink r:id="rId26" w:history="1">
        <w:r w:rsidR="00EB12B7" w:rsidRPr="004A3123">
          <w:rPr>
            <w:rStyle w:val="Hyperlink"/>
          </w:rPr>
          <w:t>https://www.england.nhs.uk/wp-content/uploads/2021/06/B0661-ics-working-with-people-and-communities.pdf</w:t>
        </w:r>
      </w:hyperlink>
      <w:r w:rsidR="00EB12B7" w:rsidRPr="004A3123">
        <w:t xml:space="preserve"> </w:t>
      </w:r>
    </w:p>
    <w:p w14:paraId="427E9DD3" w14:textId="77777777" w:rsidR="00EB12B7" w:rsidRPr="004A3123" w:rsidRDefault="007C3F63" w:rsidP="00441BD5">
      <w:pPr>
        <w:pStyle w:val="ListParagraph"/>
        <w:numPr>
          <w:ilvl w:val="0"/>
          <w:numId w:val="22"/>
        </w:numPr>
        <w:contextualSpacing w:val="0"/>
      </w:pPr>
      <w:hyperlink r:id="rId27" w:history="1">
        <w:r w:rsidR="00EB12B7" w:rsidRPr="004A3123">
          <w:rPr>
            <w:rStyle w:val="Hyperlink"/>
          </w:rPr>
          <w:t xml:space="preserve">Working with people and </w:t>
        </w:r>
        <w:proofErr w:type="gramStart"/>
        <w:r w:rsidR="00EB12B7" w:rsidRPr="004A3123">
          <w:rPr>
            <w:rStyle w:val="Hyperlink"/>
          </w:rPr>
          <w:t>communities</w:t>
        </w:r>
        <w:proofErr w:type="gramEnd"/>
        <w:r w:rsidR="00EB12B7" w:rsidRPr="004A3123">
          <w:rPr>
            <w:rStyle w:val="Hyperlink"/>
          </w:rPr>
          <w:t xml:space="preserve"> strategy (healthandcarenotts.co.uk)</w:t>
        </w:r>
      </w:hyperlink>
    </w:p>
    <w:p w14:paraId="0E797BE0" w14:textId="77777777" w:rsidR="00EB12B7" w:rsidRPr="004A3123" w:rsidRDefault="007C3F63" w:rsidP="00441BD5">
      <w:pPr>
        <w:pStyle w:val="ListParagraph"/>
        <w:numPr>
          <w:ilvl w:val="0"/>
          <w:numId w:val="22"/>
        </w:numPr>
        <w:contextualSpacing w:val="0"/>
      </w:pPr>
      <w:hyperlink r:id="rId28" w:history="1">
        <w:r w:rsidR="00EB12B7" w:rsidRPr="004A3123">
          <w:rPr>
            <w:rStyle w:val="Hyperlink"/>
          </w:rPr>
          <w:t>Nottingham and Nottinghamshire ICB Coproduction Strategy 2022 to 2024</w:t>
        </w:r>
      </w:hyperlink>
    </w:p>
    <w:p w14:paraId="2F907E40" w14:textId="664F2F8D" w:rsidR="00C838F2" w:rsidRPr="004A3123" w:rsidRDefault="00C838F2" w:rsidP="0095676B">
      <w:pPr>
        <w:pStyle w:val="Heading3"/>
      </w:pPr>
      <w:bookmarkStart w:id="14" w:name="_Ref166834005"/>
      <w:r w:rsidRPr="004A3123">
        <w:lastRenderedPageBreak/>
        <w:t>Appendix 3 – ICB Co-production Processes</w:t>
      </w:r>
      <w:bookmarkEnd w:id="14"/>
    </w:p>
    <w:p w14:paraId="61FBC842" w14:textId="77777777" w:rsidR="00EB12B7" w:rsidRPr="004A3123" w:rsidRDefault="00EB12B7">
      <w:pPr>
        <w:rPr>
          <w:rFonts w:cs="Arial"/>
        </w:rPr>
      </w:pPr>
    </w:p>
    <w:p w14:paraId="568BDDC5" w14:textId="2874D079" w:rsidR="00EB12B7" w:rsidRPr="004A3123" w:rsidRDefault="00EB12B7" w:rsidP="00EB12B7">
      <w:r w:rsidRPr="004A3123">
        <w:t xml:space="preserve">The </w:t>
      </w:r>
      <w:hyperlink r:id="rId29" w:history="1">
        <w:r w:rsidRPr="004A3123">
          <w:rPr>
            <w:rStyle w:val="Hyperlink"/>
          </w:rPr>
          <w:t>ICB Coproduction Strategy</w:t>
        </w:r>
      </w:hyperlink>
      <w:r w:rsidRPr="004A3123">
        <w:t xml:space="preserve"> sets out the initial aims for the organisation for coproduction. The strategy outlines how changes to the way we work will enable a coproduction approach to be one of the first steps considered when developing new services or changing services we already commission. It sets out how we will work to empower and enable teams and people with lived experience to work in equal partnership together to create an impact in our services.  </w:t>
      </w:r>
    </w:p>
    <w:p w14:paraId="4EC7AE53" w14:textId="77777777" w:rsidR="00EB12B7" w:rsidRPr="004A3123" w:rsidRDefault="00EB12B7" w:rsidP="00EB12B7"/>
    <w:p w14:paraId="5D77853C" w14:textId="77777777" w:rsidR="00EB12B7" w:rsidRPr="004A3123" w:rsidRDefault="00EB12B7" w:rsidP="00EB12B7">
      <w:r w:rsidRPr="004A3123">
        <w:t xml:space="preserve">The strategy sets out the ICB Coproduction Principles and Values which will be used when developing coproduction processes. These were coproduced with people with lived experience and system partners. </w:t>
      </w:r>
    </w:p>
    <w:p w14:paraId="4D3F3BE4" w14:textId="77777777" w:rsidR="00EB12B7" w:rsidRPr="004A3123" w:rsidRDefault="00EB12B7" w:rsidP="00EB12B7"/>
    <w:p w14:paraId="0DE985A7" w14:textId="77777777" w:rsidR="00EB12B7" w:rsidRPr="004A3123" w:rsidRDefault="00EB12B7" w:rsidP="00EB12B7">
      <w:r w:rsidRPr="004A3123">
        <w:t xml:space="preserve">Our ICB coproduction Principles and Values  </w:t>
      </w:r>
    </w:p>
    <w:p w14:paraId="52B919C1" w14:textId="77777777" w:rsidR="00EB12B7" w:rsidRPr="004A3123" w:rsidRDefault="00EB12B7" w:rsidP="00441BD5">
      <w:pPr>
        <w:pStyle w:val="ListParagraph"/>
        <w:numPr>
          <w:ilvl w:val="0"/>
          <w:numId w:val="23"/>
        </w:numPr>
        <w:contextualSpacing w:val="0"/>
      </w:pPr>
      <w:r w:rsidRPr="004A3123">
        <w:t>We will put people with lived experience, including carers, at the heart of all we do by valuing their skills, knowledge and interests and giving them an equal voice alongside those of paid employees to improve services.</w:t>
      </w:r>
    </w:p>
    <w:p w14:paraId="221DE2E6" w14:textId="77777777" w:rsidR="00EB12B7" w:rsidRPr="004A3123" w:rsidRDefault="00EB12B7" w:rsidP="00441BD5">
      <w:pPr>
        <w:pStyle w:val="ListParagraph"/>
        <w:numPr>
          <w:ilvl w:val="0"/>
          <w:numId w:val="23"/>
        </w:numPr>
        <w:contextualSpacing w:val="0"/>
      </w:pPr>
      <w:r w:rsidRPr="004A3123">
        <w:t>To work as equal partners, we need to be honest and open with each other to promote mutual trust.</w:t>
      </w:r>
    </w:p>
    <w:p w14:paraId="6F96469A" w14:textId="77777777" w:rsidR="00EB12B7" w:rsidRPr="004A3123" w:rsidRDefault="00EB12B7" w:rsidP="00441BD5">
      <w:pPr>
        <w:pStyle w:val="ListParagraph"/>
        <w:numPr>
          <w:ilvl w:val="0"/>
          <w:numId w:val="23"/>
        </w:numPr>
        <w:contextualSpacing w:val="0"/>
      </w:pPr>
      <w:r w:rsidRPr="004A3123">
        <w:t xml:space="preserve">We will ensure a co-production plan is developed at the start of any new project or service and will be co-produced to its end. </w:t>
      </w:r>
    </w:p>
    <w:p w14:paraId="731F72DC" w14:textId="77777777" w:rsidR="00EB12B7" w:rsidRPr="004A3123" w:rsidRDefault="00EB12B7" w:rsidP="00441BD5">
      <w:pPr>
        <w:pStyle w:val="ListParagraph"/>
        <w:numPr>
          <w:ilvl w:val="0"/>
          <w:numId w:val="23"/>
        </w:numPr>
        <w:contextualSpacing w:val="0"/>
      </w:pPr>
      <w:r w:rsidRPr="004A3123">
        <w:t>We will plan for and work to realistic timeframes for coproduction- recognising that coproduction will take time to do well.</w:t>
      </w:r>
    </w:p>
    <w:p w14:paraId="188657F0" w14:textId="77777777" w:rsidR="00EB12B7" w:rsidRPr="004A3123" w:rsidRDefault="00EB12B7" w:rsidP="00441BD5">
      <w:pPr>
        <w:pStyle w:val="ListParagraph"/>
        <w:numPr>
          <w:ilvl w:val="0"/>
          <w:numId w:val="23"/>
        </w:numPr>
        <w:contextualSpacing w:val="0"/>
      </w:pPr>
      <w:r w:rsidRPr="004A3123">
        <w:t>We will actively recruit or involve diverse voices in a meaningful way, to ensure everyone has a chance to shape our system and the services within it and ensure that anyone who wants to be involved is able to do so.</w:t>
      </w:r>
    </w:p>
    <w:p w14:paraId="74E848F5" w14:textId="77777777" w:rsidR="00EB12B7" w:rsidRPr="004A3123" w:rsidRDefault="00EB12B7" w:rsidP="00441BD5">
      <w:pPr>
        <w:pStyle w:val="ListParagraph"/>
        <w:numPr>
          <w:ilvl w:val="0"/>
          <w:numId w:val="23"/>
        </w:numPr>
        <w:contextualSpacing w:val="0"/>
      </w:pPr>
      <w:r w:rsidRPr="004A3123">
        <w:t>We will use language, written information and other kinds of communication that works for all.</w:t>
      </w:r>
    </w:p>
    <w:p w14:paraId="0E43D6BE" w14:textId="77777777" w:rsidR="00EB12B7" w:rsidRPr="004A3123" w:rsidRDefault="00EB12B7" w:rsidP="00441BD5">
      <w:pPr>
        <w:pStyle w:val="ListParagraph"/>
        <w:numPr>
          <w:ilvl w:val="0"/>
          <w:numId w:val="23"/>
        </w:numPr>
        <w:contextualSpacing w:val="0"/>
      </w:pPr>
      <w:r w:rsidRPr="004A3123">
        <w:t>To show that we value people’s voices, we will pay out of pocket expenses and offer involvement payments and reimbursement options for the time they give.</w:t>
      </w:r>
    </w:p>
    <w:p w14:paraId="5B91F4B0" w14:textId="77777777" w:rsidR="00EB12B7" w:rsidRPr="004A3123" w:rsidRDefault="00EB12B7" w:rsidP="00441BD5">
      <w:pPr>
        <w:pStyle w:val="ListParagraph"/>
        <w:numPr>
          <w:ilvl w:val="0"/>
          <w:numId w:val="23"/>
        </w:numPr>
        <w:contextualSpacing w:val="0"/>
      </w:pPr>
      <w:r w:rsidRPr="004A3123">
        <w:t>We will support everyone to access training and support to enable them to develop their skills and knowledge.</w:t>
      </w:r>
    </w:p>
    <w:p w14:paraId="0964F096" w14:textId="77777777" w:rsidR="00EB12B7" w:rsidRPr="004A3123" w:rsidRDefault="00EB12B7" w:rsidP="00441BD5">
      <w:pPr>
        <w:pStyle w:val="ListParagraph"/>
        <w:numPr>
          <w:ilvl w:val="0"/>
          <w:numId w:val="23"/>
        </w:numPr>
        <w:contextualSpacing w:val="0"/>
      </w:pPr>
      <w:r w:rsidRPr="004A3123">
        <w:t>We will always tell people what has been achieved because of their contribution.</w:t>
      </w:r>
    </w:p>
    <w:p w14:paraId="006E6C82" w14:textId="77777777" w:rsidR="00EB12B7" w:rsidRPr="004A3123" w:rsidRDefault="00EB12B7" w:rsidP="00441BD5">
      <w:pPr>
        <w:pStyle w:val="ListParagraph"/>
        <w:numPr>
          <w:ilvl w:val="0"/>
          <w:numId w:val="23"/>
        </w:numPr>
        <w:contextualSpacing w:val="0"/>
      </w:pPr>
      <w:r w:rsidRPr="004A3123">
        <w:t>We will work across the system, sharing knowledge and insight from different coproduction projects, to prevent duplication of work, and to show that co-production works.</w:t>
      </w:r>
    </w:p>
    <w:p w14:paraId="5B5D52D0" w14:textId="77777777" w:rsidR="00EB12B7" w:rsidRPr="004A3123" w:rsidRDefault="00EB12B7">
      <w:pPr>
        <w:rPr>
          <w:rFonts w:cs="Arial"/>
        </w:rPr>
      </w:pPr>
    </w:p>
    <w:p w14:paraId="2669F41C" w14:textId="77777777" w:rsidR="00C838F2" w:rsidRPr="004A3123" w:rsidRDefault="00C838F2">
      <w:pPr>
        <w:rPr>
          <w:rFonts w:cs="Arial"/>
        </w:rPr>
      </w:pPr>
    </w:p>
    <w:p w14:paraId="6E557D8D" w14:textId="77777777" w:rsidR="00F1709F" w:rsidRPr="004A3123" w:rsidRDefault="00F1709F">
      <w:pPr>
        <w:rPr>
          <w:rFonts w:cs="Arial"/>
        </w:rPr>
      </w:pPr>
    </w:p>
    <w:p w14:paraId="060589A0" w14:textId="77777777" w:rsidR="00F1709F" w:rsidRPr="004A3123" w:rsidRDefault="00F1709F">
      <w:pPr>
        <w:rPr>
          <w:rFonts w:cs="Arial"/>
        </w:rPr>
      </w:pPr>
      <w:r w:rsidRPr="004A3123">
        <w:rPr>
          <w:rFonts w:cs="Arial"/>
        </w:rPr>
        <w:br w:type="page"/>
      </w:r>
    </w:p>
    <w:p w14:paraId="78FD6307" w14:textId="15DC5237" w:rsidR="00C838F2" w:rsidRPr="004A3123" w:rsidRDefault="00C838F2" w:rsidP="0095676B">
      <w:pPr>
        <w:pStyle w:val="Heading3"/>
      </w:pPr>
      <w:bookmarkStart w:id="15" w:name="_Ref166834015"/>
      <w:r w:rsidRPr="004A3123">
        <w:lastRenderedPageBreak/>
        <w:t xml:space="preserve">Appendix 4 </w:t>
      </w:r>
      <w:r w:rsidR="00A933EF" w:rsidRPr="004A3123">
        <w:t>–</w:t>
      </w:r>
      <w:r w:rsidRPr="004A3123">
        <w:t xml:space="preserve"> </w:t>
      </w:r>
      <w:r w:rsidR="00A933EF" w:rsidRPr="004A3123">
        <w:t>Co-Production Examples for Talking Therapies</w:t>
      </w:r>
      <w:bookmarkEnd w:id="15"/>
    </w:p>
    <w:p w14:paraId="62446988" w14:textId="653A5B75" w:rsidR="005E4CF5" w:rsidRPr="004A3123" w:rsidRDefault="005E4CF5" w:rsidP="00F86A73">
      <w:pPr>
        <w:pStyle w:val="BodyText"/>
        <w:rPr>
          <w:rFonts w:ascii="Tenorite" w:hAnsi="Tenorite" w:cs="Arial"/>
        </w:rPr>
      </w:pPr>
    </w:p>
    <w:p w14:paraId="5ED0DE22" w14:textId="77777777" w:rsidR="00C234C5" w:rsidRPr="004A3123" w:rsidRDefault="00C234C5" w:rsidP="00C234C5">
      <w:r w:rsidRPr="004A3123">
        <w:t xml:space="preserve">Talking Therapies have a team of 5 Community Engagement Workers whose role is to engage at Place, targeting the public and key populations to raise awareness of mental health, the service and the support is available through it, inform and deliver marketing campaigns, and channel feedback into the operational teams. </w:t>
      </w:r>
    </w:p>
    <w:p w14:paraId="7843BE8B" w14:textId="77777777" w:rsidR="00C234C5" w:rsidRPr="004A3123" w:rsidRDefault="00C234C5" w:rsidP="00C234C5"/>
    <w:p w14:paraId="678DC82E" w14:textId="18F1EED3" w:rsidR="00C234C5" w:rsidRPr="004A3123" w:rsidRDefault="00C234C5" w:rsidP="00C234C5">
      <w:r w:rsidRPr="004A3123">
        <w:t>The team have a broad reach, and over the last year they have attended over 300 community events and spoken to over 3000 people at these events.</w:t>
      </w:r>
    </w:p>
    <w:p w14:paraId="66909D54" w14:textId="77777777" w:rsidR="00C234C5" w:rsidRPr="004A3123" w:rsidRDefault="00C234C5" w:rsidP="00C234C5"/>
    <w:p w14:paraId="380DD6B5" w14:textId="77777777" w:rsidR="00C234C5" w:rsidRPr="004A3123" w:rsidRDefault="00C234C5" w:rsidP="00C234C5">
      <w:r w:rsidRPr="004A3123">
        <w:t>Some examples of engagement and co-production:</w:t>
      </w:r>
    </w:p>
    <w:p w14:paraId="42FEF67E" w14:textId="77777777" w:rsidR="00C234C5" w:rsidRPr="004A3123" w:rsidRDefault="00C234C5" w:rsidP="00C234C5"/>
    <w:p w14:paraId="1395B439" w14:textId="305D71C9" w:rsidR="00C234C5" w:rsidRPr="004A3123" w:rsidRDefault="00C234C5" w:rsidP="00441BD5">
      <w:pPr>
        <w:pStyle w:val="ListParagraph"/>
        <w:numPr>
          <w:ilvl w:val="0"/>
          <w:numId w:val="24"/>
        </w:numPr>
      </w:pPr>
      <w:r w:rsidRPr="004A3123">
        <w:t>Attended 3 older adult groups across South Notts to undertake focus groups with this population. The feedback from these focus groups helped inform an Older Adults campaign. The feedback from these sessions ensured the language in marketing materials resonated with older adults and ensured that the service better understood the challenges faced by older adults. Referrals from older adults has doubled between December 2023 and February 2024 in South Notts.</w:t>
      </w:r>
    </w:p>
    <w:p w14:paraId="75801379" w14:textId="77777777" w:rsidR="00C234C5" w:rsidRPr="004A3123" w:rsidRDefault="00C234C5" w:rsidP="00C234C5"/>
    <w:p w14:paraId="712FB3DD" w14:textId="1F2BFC70" w:rsidR="00C234C5" w:rsidRPr="004A3123" w:rsidRDefault="00C234C5" w:rsidP="00441BD5">
      <w:pPr>
        <w:pStyle w:val="ListParagraph"/>
        <w:numPr>
          <w:ilvl w:val="0"/>
          <w:numId w:val="24"/>
        </w:numPr>
      </w:pPr>
      <w:r w:rsidRPr="004A3123">
        <w:t>Engagement with the South Asian community across Radford and Hyson Green in Nottingham City highlighted a need for support around digital inclusion. This has led to working with partners to develop and pilot a workshop around accessing services digitally.</w:t>
      </w:r>
    </w:p>
    <w:p w14:paraId="0FB77066" w14:textId="77777777" w:rsidR="00C234C5" w:rsidRPr="004A3123" w:rsidRDefault="00C234C5" w:rsidP="00C234C5"/>
    <w:p w14:paraId="4E14183A" w14:textId="5E8AD919" w:rsidR="00C234C5" w:rsidRPr="004A3123" w:rsidRDefault="00C234C5" w:rsidP="00441BD5">
      <w:pPr>
        <w:pStyle w:val="ListParagraph"/>
        <w:numPr>
          <w:ilvl w:val="0"/>
          <w:numId w:val="24"/>
        </w:numPr>
      </w:pPr>
      <w:r w:rsidRPr="004A3123">
        <w:t>As part of Talking Therapies cost of living campaign in January, the team attended over 50 food banks across the ICS to speak to the public and distribute promotional materials to raise awareness of the service. In Bassetlaw this led to some partnership working with the wellbeing lead and the provision of a new drop-in session to support people to make referrals into the service.</w:t>
      </w:r>
    </w:p>
    <w:p w14:paraId="6B4C6A12" w14:textId="77777777" w:rsidR="00C234C5" w:rsidRPr="004A3123" w:rsidRDefault="00C234C5" w:rsidP="00C234C5"/>
    <w:p w14:paraId="73F2351F" w14:textId="43BC30E2" w:rsidR="00C234C5" w:rsidRPr="004A3123" w:rsidRDefault="00C234C5" w:rsidP="00441BD5">
      <w:pPr>
        <w:pStyle w:val="ListParagraph"/>
        <w:numPr>
          <w:ilvl w:val="0"/>
          <w:numId w:val="24"/>
        </w:numPr>
      </w:pPr>
      <w:r w:rsidRPr="004A3123">
        <w:t xml:space="preserve">Talking Therapies also has a team of Employment Workers. Alongside their core offer of employment support for people with anxiety and depression, at the job centre they provide </w:t>
      </w:r>
      <w:r w:rsidR="00003B57" w:rsidRPr="004A3123">
        <w:t>drop-in</w:t>
      </w:r>
      <w:r w:rsidRPr="004A3123">
        <w:t xml:space="preserve"> sessions, attend wellbeing </w:t>
      </w:r>
      <w:proofErr w:type="gramStart"/>
      <w:r w:rsidRPr="004A3123">
        <w:t>events</w:t>
      </w:r>
      <w:proofErr w:type="gramEnd"/>
      <w:r w:rsidRPr="004A3123">
        <w:t xml:space="preserve"> and attend progress sessions for those currently on their journey back to health and employment. As a result, this has increased referrals for employment support alongside therapy by 46%.</w:t>
      </w:r>
    </w:p>
    <w:p w14:paraId="31FA9BB1" w14:textId="5DAD91F1" w:rsidR="0004281F" w:rsidRDefault="0004281F" w:rsidP="00F86A73">
      <w:pPr>
        <w:pStyle w:val="BodyText"/>
        <w:rPr>
          <w:rFonts w:ascii="Tenorite" w:hAnsi="Tenorite" w:cs="Arial"/>
        </w:rPr>
      </w:pPr>
    </w:p>
    <w:p w14:paraId="66C4A716" w14:textId="77777777" w:rsidR="0004281F" w:rsidRDefault="0004281F">
      <w:pPr>
        <w:rPr>
          <w:rFonts w:ascii="Tenorite" w:hAnsi="Tenorite" w:cs="Arial"/>
        </w:rPr>
      </w:pPr>
      <w:r>
        <w:rPr>
          <w:rFonts w:ascii="Tenorite" w:hAnsi="Tenorite" w:cs="Arial"/>
        </w:rPr>
        <w:br w:type="page"/>
      </w:r>
    </w:p>
    <w:p w14:paraId="2A5A1A3E" w14:textId="28628949" w:rsidR="00C234C5" w:rsidRPr="002B7F40" w:rsidRDefault="002B7F40" w:rsidP="0095676B">
      <w:pPr>
        <w:pStyle w:val="Heading3"/>
      </w:pPr>
      <w:r w:rsidRPr="002B7F40">
        <w:lastRenderedPageBreak/>
        <w:t>Appendix</w:t>
      </w:r>
      <w:r w:rsidR="0004281F" w:rsidRPr="002B7F40">
        <w:t xml:space="preserve"> 5</w:t>
      </w:r>
      <w:r w:rsidRPr="002B7F40">
        <w:t xml:space="preserve"> </w:t>
      </w:r>
      <w:r>
        <w:t>–</w:t>
      </w:r>
      <w:r w:rsidRPr="002B7F40">
        <w:t xml:space="preserve"> </w:t>
      </w:r>
      <w:r>
        <w:t>Tables from reports</w:t>
      </w:r>
    </w:p>
    <w:p w14:paraId="42AD3D78" w14:textId="5C9B963C" w:rsidR="0004281F" w:rsidRPr="002B7F40" w:rsidRDefault="002B7F40" w:rsidP="0095676B">
      <w:pPr>
        <w:pStyle w:val="Heading4"/>
      </w:pPr>
      <w:bookmarkStart w:id="16" w:name="_Ref166833917"/>
      <w:r w:rsidRPr="002B7F40">
        <w:t>5.1</w:t>
      </w:r>
      <w:r>
        <w:tab/>
      </w:r>
      <w:r w:rsidRPr="002B7F40">
        <w:t xml:space="preserve"> </w:t>
      </w:r>
      <w:r w:rsidR="0004281F" w:rsidRPr="002B7F40">
        <w:t xml:space="preserve">Domain 1: Commissioned or provided </w:t>
      </w:r>
      <w:proofErr w:type="gramStart"/>
      <w:r w:rsidR="0004281F" w:rsidRPr="002B7F40">
        <w:t>services</w:t>
      </w:r>
      <w:bookmarkEnd w:id="16"/>
      <w:proofErr w:type="gramEnd"/>
    </w:p>
    <w:p w14:paraId="35E51C47" w14:textId="77777777" w:rsidR="0004281F" w:rsidRPr="002B7F40" w:rsidRDefault="0004281F" w:rsidP="0004281F">
      <w:pPr>
        <w:pStyle w:val="TableText"/>
        <w:rPr>
          <w:rFonts w:cs="Arial"/>
        </w:rPr>
      </w:pPr>
    </w:p>
    <w:p w14:paraId="1E9A3833" w14:textId="36ABD4EB" w:rsidR="0004281F" w:rsidRPr="002B7F40" w:rsidRDefault="0004281F" w:rsidP="0004281F">
      <w:pPr>
        <w:pStyle w:val="TableText"/>
        <w:rPr>
          <w:rFonts w:cs="Arial"/>
          <w:bCs/>
        </w:rPr>
      </w:pPr>
      <w:r w:rsidRPr="002B7F40">
        <w:rPr>
          <w:rFonts w:cs="Arial"/>
        </w:rPr>
        <w:t xml:space="preserve">1A: </w:t>
      </w:r>
      <w:r w:rsidRPr="002B7F40">
        <w:rPr>
          <w:rFonts w:cs="Arial"/>
          <w:bCs/>
        </w:rPr>
        <w:t xml:space="preserve">Patients (service users) have required levels of access to the </w:t>
      </w:r>
      <w:proofErr w:type="gramStart"/>
      <w:r w:rsidRPr="002B7F40">
        <w:rPr>
          <w:rFonts w:cs="Arial"/>
          <w:bCs/>
        </w:rPr>
        <w:t>service</w:t>
      </w:r>
      <w:proofErr w:type="gramEnd"/>
    </w:p>
    <w:p w14:paraId="59AB7EDA" w14:textId="77777777" w:rsidR="0004281F" w:rsidRPr="002B7F40" w:rsidRDefault="0004281F" w:rsidP="0004281F">
      <w:pPr>
        <w:pStyle w:val="TableText"/>
        <w:rPr>
          <w:rFonts w:cs="Arial"/>
        </w:rPr>
      </w:pPr>
    </w:p>
    <w:p w14:paraId="2681AA30" w14:textId="4A8A42EF" w:rsidR="0004281F" w:rsidRPr="002B7F40" w:rsidRDefault="0004281F" w:rsidP="0004281F">
      <w:pPr>
        <w:pStyle w:val="TableText"/>
        <w:rPr>
          <w:rFonts w:cs="Arial"/>
        </w:rPr>
      </w:pPr>
      <w:r w:rsidRPr="002B7F40">
        <w:rPr>
          <w:rFonts w:cs="Arial"/>
        </w:rPr>
        <w:t xml:space="preserve">During the first 6 months of the new service, all target populations have remained the same </w:t>
      </w:r>
      <w:proofErr w:type="gramStart"/>
      <w:r w:rsidRPr="002B7F40">
        <w:rPr>
          <w:rFonts w:cs="Arial"/>
        </w:rPr>
        <w:t>with the exception of</w:t>
      </w:r>
      <w:proofErr w:type="gramEnd"/>
      <w:r w:rsidRPr="002B7F40">
        <w:rPr>
          <w:rFonts w:cs="Arial"/>
        </w:rPr>
        <w:t xml:space="preserve"> a reduction of 18-25s, compared to the Q4, 2022/23 table available in appendix </w:t>
      </w:r>
      <w:r w:rsidR="002B7F40" w:rsidRPr="002B7F40">
        <w:rPr>
          <w:rFonts w:cs="Arial"/>
        </w:rPr>
        <w:t>5.1</w:t>
      </w:r>
      <w:r w:rsidRPr="002B7F40">
        <w:rPr>
          <w:rFonts w:cs="Arial"/>
        </w:rPr>
        <w:t>:</w:t>
      </w:r>
    </w:p>
    <w:p w14:paraId="28AA36E2" w14:textId="77777777" w:rsidR="0004281F" w:rsidRPr="002B7F40" w:rsidRDefault="0004281F" w:rsidP="0004281F">
      <w:pPr>
        <w:pStyle w:val="TableText"/>
        <w:rPr>
          <w:rFonts w:cs="Arial"/>
        </w:rPr>
      </w:pPr>
    </w:p>
    <w:tbl>
      <w:tblPr>
        <w:tblW w:w="7560" w:type="dxa"/>
        <w:tblLook w:val="04A0" w:firstRow="1" w:lastRow="0" w:firstColumn="1" w:lastColumn="0" w:noHBand="0" w:noVBand="1"/>
      </w:tblPr>
      <w:tblGrid>
        <w:gridCol w:w="1420"/>
        <w:gridCol w:w="1023"/>
        <w:gridCol w:w="1023"/>
        <w:gridCol w:w="1024"/>
        <w:gridCol w:w="1023"/>
        <w:gridCol w:w="1023"/>
        <w:gridCol w:w="1024"/>
      </w:tblGrid>
      <w:tr w:rsidR="0004281F" w:rsidRPr="002B7F40" w14:paraId="47C22F61" w14:textId="77777777" w:rsidTr="0004281F">
        <w:trPr>
          <w:trHeight w:val="56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58C3C" w14:textId="77777777" w:rsidR="0004281F" w:rsidRPr="002B7F40" w:rsidRDefault="0004281F" w:rsidP="0004281F">
            <w:pPr>
              <w:rPr>
                <w:rFonts w:eastAsia="Times New Roman" w:cs="Arial"/>
                <w:color w:val="auto"/>
              </w:rPr>
            </w:pPr>
            <w:r w:rsidRPr="002B7F40">
              <w:rPr>
                <w:rFonts w:eastAsia="Times New Roman" w:cs="Arial"/>
                <w:color w:val="auto"/>
                <w:lang w:val="en-US"/>
              </w:rPr>
              <w:t> </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07E1D701" w14:textId="77777777" w:rsidR="0004281F" w:rsidRPr="002B7F40" w:rsidRDefault="0004281F" w:rsidP="0004281F">
            <w:pPr>
              <w:jc w:val="center"/>
              <w:rPr>
                <w:rFonts w:eastAsia="Times New Roman" w:cs="Arial"/>
                <w:color w:val="auto"/>
              </w:rPr>
            </w:pPr>
            <w:r w:rsidRPr="002B7F40">
              <w:rPr>
                <w:rFonts w:eastAsia="Times New Roman" w:cs="Arial"/>
                <w:color w:val="auto"/>
                <w:lang w:val="en-US"/>
              </w:rPr>
              <w:t>18-25s</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7E0208EB" w14:textId="77777777" w:rsidR="0004281F" w:rsidRPr="002B7F40" w:rsidRDefault="0004281F" w:rsidP="0004281F">
            <w:pPr>
              <w:jc w:val="center"/>
              <w:rPr>
                <w:rFonts w:eastAsia="Times New Roman" w:cs="Arial"/>
                <w:color w:val="auto"/>
              </w:rPr>
            </w:pPr>
            <w:r w:rsidRPr="002B7F40">
              <w:rPr>
                <w:rFonts w:eastAsia="Times New Roman" w:cs="Arial"/>
                <w:color w:val="auto"/>
                <w:lang w:val="en-US"/>
              </w:rPr>
              <w:t>Over 65s</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14:paraId="2F1D0B1F" w14:textId="77777777" w:rsidR="0004281F" w:rsidRPr="002B7F40" w:rsidRDefault="0004281F" w:rsidP="0004281F">
            <w:pPr>
              <w:jc w:val="center"/>
              <w:rPr>
                <w:rFonts w:eastAsia="Times New Roman" w:cs="Arial"/>
                <w:color w:val="auto"/>
              </w:rPr>
            </w:pPr>
            <w:r w:rsidRPr="002B7F40">
              <w:rPr>
                <w:rFonts w:eastAsia="Times New Roman" w:cs="Arial"/>
                <w:color w:val="auto"/>
                <w:lang w:val="en-US"/>
              </w:rPr>
              <w:t>LTC</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08405F89" w14:textId="77777777" w:rsidR="0004281F" w:rsidRPr="002B7F40" w:rsidRDefault="0004281F" w:rsidP="0004281F">
            <w:pPr>
              <w:jc w:val="center"/>
              <w:rPr>
                <w:rFonts w:eastAsia="Times New Roman" w:cs="Arial"/>
                <w:color w:val="auto"/>
              </w:rPr>
            </w:pPr>
            <w:r w:rsidRPr="002B7F40">
              <w:rPr>
                <w:rFonts w:eastAsia="Times New Roman" w:cs="Arial"/>
                <w:color w:val="auto"/>
                <w:lang w:val="en-US"/>
              </w:rPr>
              <w:t>BAME</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289DB1E2" w14:textId="77777777" w:rsidR="0004281F" w:rsidRPr="002B7F40" w:rsidRDefault="0004281F" w:rsidP="0004281F">
            <w:pPr>
              <w:jc w:val="center"/>
              <w:rPr>
                <w:rFonts w:eastAsia="Times New Roman" w:cs="Arial"/>
                <w:color w:val="auto"/>
              </w:rPr>
            </w:pPr>
            <w:r w:rsidRPr="002B7F40">
              <w:rPr>
                <w:rFonts w:eastAsia="Times New Roman" w:cs="Arial"/>
                <w:color w:val="auto"/>
                <w:lang w:val="en-US"/>
              </w:rPr>
              <w:t>Male</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14:paraId="44BDFDE6" w14:textId="77777777" w:rsidR="0004281F" w:rsidRPr="002B7F40" w:rsidRDefault="0004281F" w:rsidP="0004281F">
            <w:pPr>
              <w:jc w:val="center"/>
              <w:rPr>
                <w:rFonts w:eastAsia="Times New Roman" w:cs="Arial"/>
                <w:color w:val="auto"/>
              </w:rPr>
            </w:pPr>
            <w:r w:rsidRPr="002B7F40">
              <w:rPr>
                <w:rFonts w:eastAsia="Times New Roman" w:cs="Arial"/>
                <w:color w:val="auto"/>
                <w:lang w:val="en-US"/>
              </w:rPr>
              <w:t>LGB</w:t>
            </w:r>
          </w:p>
        </w:tc>
      </w:tr>
      <w:tr w:rsidR="0004281F" w:rsidRPr="002B7F40" w14:paraId="12A0E7E2" w14:textId="77777777" w:rsidTr="0004281F">
        <w:trPr>
          <w:trHeight w:val="29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7FA0795F" w14:textId="77777777" w:rsidR="0004281F" w:rsidRPr="002B7F40" w:rsidRDefault="0004281F" w:rsidP="0004281F">
            <w:pPr>
              <w:rPr>
                <w:rFonts w:eastAsia="Times New Roman" w:cs="Arial"/>
                <w:color w:val="auto"/>
              </w:rPr>
            </w:pPr>
            <w:r w:rsidRPr="002B7F40">
              <w:rPr>
                <w:rFonts w:eastAsia="Times New Roman" w:cs="Arial"/>
                <w:color w:val="auto"/>
                <w:lang w:val="en-US"/>
              </w:rPr>
              <w:t>Q4 2022/23</w:t>
            </w:r>
          </w:p>
        </w:tc>
        <w:tc>
          <w:tcPr>
            <w:tcW w:w="1023" w:type="dxa"/>
            <w:tcBorders>
              <w:top w:val="nil"/>
              <w:left w:val="nil"/>
              <w:bottom w:val="single" w:sz="4" w:space="0" w:color="auto"/>
              <w:right w:val="single" w:sz="4" w:space="0" w:color="auto"/>
            </w:tcBorders>
            <w:shd w:val="clear" w:color="auto" w:fill="auto"/>
            <w:vAlign w:val="center"/>
            <w:hideMark/>
          </w:tcPr>
          <w:p w14:paraId="4A5D293F" w14:textId="77777777" w:rsidR="0004281F" w:rsidRPr="002B7F40" w:rsidRDefault="0004281F" w:rsidP="0004281F">
            <w:pPr>
              <w:jc w:val="center"/>
              <w:rPr>
                <w:rFonts w:eastAsia="Times New Roman" w:cs="Arial"/>
                <w:color w:val="auto"/>
              </w:rPr>
            </w:pPr>
            <w:r w:rsidRPr="002B7F40">
              <w:rPr>
                <w:rFonts w:eastAsia="Times New Roman" w:cs="Arial"/>
                <w:color w:val="auto"/>
                <w:lang w:val="en-US"/>
              </w:rPr>
              <w:t>27%</w:t>
            </w:r>
          </w:p>
        </w:tc>
        <w:tc>
          <w:tcPr>
            <w:tcW w:w="1023" w:type="dxa"/>
            <w:tcBorders>
              <w:top w:val="nil"/>
              <w:left w:val="nil"/>
              <w:bottom w:val="single" w:sz="4" w:space="0" w:color="auto"/>
              <w:right w:val="single" w:sz="4" w:space="0" w:color="auto"/>
            </w:tcBorders>
            <w:shd w:val="clear" w:color="auto" w:fill="auto"/>
            <w:vAlign w:val="center"/>
            <w:hideMark/>
          </w:tcPr>
          <w:p w14:paraId="730439EA" w14:textId="77777777" w:rsidR="0004281F" w:rsidRPr="002B7F40" w:rsidRDefault="0004281F" w:rsidP="0004281F">
            <w:pPr>
              <w:jc w:val="center"/>
              <w:rPr>
                <w:rFonts w:eastAsia="Times New Roman" w:cs="Arial"/>
                <w:color w:val="auto"/>
              </w:rPr>
            </w:pPr>
            <w:r w:rsidRPr="002B7F40">
              <w:rPr>
                <w:rFonts w:eastAsia="Times New Roman" w:cs="Arial"/>
                <w:color w:val="auto"/>
                <w:lang w:val="en-US"/>
              </w:rPr>
              <w:t>6%</w:t>
            </w:r>
          </w:p>
        </w:tc>
        <w:tc>
          <w:tcPr>
            <w:tcW w:w="1024" w:type="dxa"/>
            <w:tcBorders>
              <w:top w:val="nil"/>
              <w:left w:val="nil"/>
              <w:bottom w:val="single" w:sz="4" w:space="0" w:color="auto"/>
              <w:right w:val="single" w:sz="4" w:space="0" w:color="auto"/>
            </w:tcBorders>
            <w:shd w:val="clear" w:color="auto" w:fill="auto"/>
            <w:vAlign w:val="center"/>
            <w:hideMark/>
          </w:tcPr>
          <w:p w14:paraId="042EB2A8" w14:textId="77777777" w:rsidR="0004281F" w:rsidRPr="002B7F40" w:rsidRDefault="0004281F" w:rsidP="0004281F">
            <w:pPr>
              <w:jc w:val="center"/>
              <w:rPr>
                <w:rFonts w:eastAsia="Times New Roman" w:cs="Arial"/>
                <w:color w:val="auto"/>
              </w:rPr>
            </w:pPr>
            <w:r w:rsidRPr="002B7F40">
              <w:rPr>
                <w:rFonts w:eastAsia="Times New Roman" w:cs="Arial"/>
                <w:color w:val="auto"/>
                <w:lang w:val="en-US"/>
              </w:rPr>
              <w:t>28%</w:t>
            </w:r>
          </w:p>
        </w:tc>
        <w:tc>
          <w:tcPr>
            <w:tcW w:w="1023" w:type="dxa"/>
            <w:tcBorders>
              <w:top w:val="nil"/>
              <w:left w:val="nil"/>
              <w:bottom w:val="single" w:sz="4" w:space="0" w:color="auto"/>
              <w:right w:val="single" w:sz="4" w:space="0" w:color="auto"/>
            </w:tcBorders>
            <w:shd w:val="clear" w:color="auto" w:fill="auto"/>
            <w:vAlign w:val="center"/>
            <w:hideMark/>
          </w:tcPr>
          <w:p w14:paraId="0E889932" w14:textId="77777777" w:rsidR="0004281F" w:rsidRPr="002B7F40" w:rsidRDefault="0004281F" w:rsidP="0004281F">
            <w:pPr>
              <w:jc w:val="center"/>
              <w:rPr>
                <w:rFonts w:eastAsia="Times New Roman" w:cs="Arial"/>
                <w:color w:val="auto"/>
              </w:rPr>
            </w:pPr>
            <w:r w:rsidRPr="002B7F40">
              <w:rPr>
                <w:rFonts w:eastAsia="Times New Roman" w:cs="Arial"/>
                <w:color w:val="auto"/>
                <w:lang w:val="en-US"/>
              </w:rPr>
              <w:t>15%</w:t>
            </w:r>
          </w:p>
        </w:tc>
        <w:tc>
          <w:tcPr>
            <w:tcW w:w="1023" w:type="dxa"/>
            <w:tcBorders>
              <w:top w:val="nil"/>
              <w:left w:val="nil"/>
              <w:bottom w:val="single" w:sz="4" w:space="0" w:color="auto"/>
              <w:right w:val="single" w:sz="4" w:space="0" w:color="auto"/>
            </w:tcBorders>
            <w:shd w:val="clear" w:color="auto" w:fill="auto"/>
            <w:vAlign w:val="center"/>
            <w:hideMark/>
          </w:tcPr>
          <w:p w14:paraId="2969D58D" w14:textId="77777777" w:rsidR="0004281F" w:rsidRPr="002B7F40" w:rsidRDefault="0004281F" w:rsidP="0004281F">
            <w:pPr>
              <w:jc w:val="center"/>
              <w:rPr>
                <w:rFonts w:eastAsia="Times New Roman" w:cs="Arial"/>
                <w:color w:val="auto"/>
              </w:rPr>
            </w:pPr>
            <w:r w:rsidRPr="002B7F40">
              <w:rPr>
                <w:rFonts w:eastAsia="Times New Roman" w:cs="Arial"/>
                <w:color w:val="auto"/>
                <w:lang w:val="en-US"/>
              </w:rPr>
              <w:t>30%</w:t>
            </w:r>
          </w:p>
        </w:tc>
        <w:tc>
          <w:tcPr>
            <w:tcW w:w="1024" w:type="dxa"/>
            <w:tcBorders>
              <w:top w:val="nil"/>
              <w:left w:val="nil"/>
              <w:bottom w:val="single" w:sz="4" w:space="0" w:color="auto"/>
              <w:right w:val="single" w:sz="4" w:space="0" w:color="auto"/>
            </w:tcBorders>
            <w:shd w:val="clear" w:color="auto" w:fill="auto"/>
            <w:vAlign w:val="center"/>
            <w:hideMark/>
          </w:tcPr>
          <w:p w14:paraId="5C325983" w14:textId="77777777" w:rsidR="0004281F" w:rsidRPr="002B7F40" w:rsidRDefault="0004281F" w:rsidP="0004281F">
            <w:pPr>
              <w:jc w:val="center"/>
              <w:rPr>
                <w:rFonts w:eastAsia="Times New Roman" w:cs="Arial"/>
                <w:color w:val="auto"/>
              </w:rPr>
            </w:pPr>
            <w:r w:rsidRPr="002B7F40">
              <w:rPr>
                <w:rFonts w:eastAsia="Times New Roman" w:cs="Arial"/>
                <w:color w:val="auto"/>
                <w:lang w:val="en-US"/>
              </w:rPr>
              <w:t>7%</w:t>
            </w:r>
          </w:p>
        </w:tc>
      </w:tr>
      <w:tr w:rsidR="0004281F" w:rsidRPr="002B7F40" w14:paraId="66DDA053" w14:textId="77777777" w:rsidTr="0004281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1EC9527" w14:textId="77777777" w:rsidR="0004281F" w:rsidRPr="002B7F40" w:rsidRDefault="0004281F" w:rsidP="0004281F">
            <w:pPr>
              <w:rPr>
                <w:rFonts w:eastAsia="Times New Roman" w:cs="Arial"/>
              </w:rPr>
            </w:pPr>
            <w:r w:rsidRPr="002B7F40">
              <w:rPr>
                <w:rFonts w:eastAsia="Times New Roman" w:cs="Arial"/>
              </w:rPr>
              <w:t>Q1 2023/24</w:t>
            </w:r>
          </w:p>
        </w:tc>
        <w:tc>
          <w:tcPr>
            <w:tcW w:w="1023" w:type="dxa"/>
            <w:tcBorders>
              <w:top w:val="nil"/>
              <w:left w:val="nil"/>
              <w:bottom w:val="single" w:sz="4" w:space="0" w:color="auto"/>
              <w:right w:val="single" w:sz="4" w:space="0" w:color="auto"/>
            </w:tcBorders>
            <w:shd w:val="clear" w:color="auto" w:fill="auto"/>
            <w:vAlign w:val="center"/>
            <w:hideMark/>
          </w:tcPr>
          <w:p w14:paraId="2C22E105" w14:textId="77777777" w:rsidR="0004281F" w:rsidRPr="002B7F40" w:rsidRDefault="0004281F" w:rsidP="0004281F">
            <w:pPr>
              <w:jc w:val="center"/>
              <w:rPr>
                <w:rFonts w:eastAsia="Times New Roman" w:cs="Arial"/>
                <w:color w:val="auto"/>
              </w:rPr>
            </w:pPr>
            <w:r w:rsidRPr="002B7F40">
              <w:rPr>
                <w:rFonts w:eastAsia="Times New Roman" w:cs="Arial"/>
                <w:color w:val="auto"/>
                <w:lang w:val="en-US"/>
              </w:rPr>
              <w:t>22%</w:t>
            </w:r>
          </w:p>
        </w:tc>
        <w:tc>
          <w:tcPr>
            <w:tcW w:w="1023" w:type="dxa"/>
            <w:tcBorders>
              <w:top w:val="nil"/>
              <w:left w:val="nil"/>
              <w:bottom w:val="single" w:sz="4" w:space="0" w:color="auto"/>
              <w:right w:val="single" w:sz="4" w:space="0" w:color="auto"/>
            </w:tcBorders>
            <w:shd w:val="clear" w:color="auto" w:fill="auto"/>
            <w:vAlign w:val="center"/>
            <w:hideMark/>
          </w:tcPr>
          <w:p w14:paraId="511F4D37" w14:textId="77777777" w:rsidR="0004281F" w:rsidRPr="002B7F40" w:rsidRDefault="0004281F" w:rsidP="0004281F">
            <w:pPr>
              <w:jc w:val="center"/>
              <w:rPr>
                <w:rFonts w:eastAsia="Times New Roman" w:cs="Arial"/>
                <w:color w:val="auto"/>
              </w:rPr>
            </w:pPr>
            <w:r w:rsidRPr="002B7F40">
              <w:rPr>
                <w:rFonts w:eastAsia="Times New Roman" w:cs="Arial"/>
                <w:color w:val="auto"/>
                <w:lang w:val="en-US"/>
              </w:rPr>
              <w:t>8%</w:t>
            </w:r>
          </w:p>
        </w:tc>
        <w:tc>
          <w:tcPr>
            <w:tcW w:w="1024" w:type="dxa"/>
            <w:tcBorders>
              <w:top w:val="nil"/>
              <w:left w:val="nil"/>
              <w:bottom w:val="single" w:sz="4" w:space="0" w:color="auto"/>
              <w:right w:val="single" w:sz="4" w:space="0" w:color="auto"/>
            </w:tcBorders>
            <w:shd w:val="clear" w:color="auto" w:fill="auto"/>
            <w:vAlign w:val="center"/>
            <w:hideMark/>
          </w:tcPr>
          <w:p w14:paraId="38E20D00" w14:textId="77777777" w:rsidR="0004281F" w:rsidRPr="002B7F40" w:rsidRDefault="0004281F" w:rsidP="0004281F">
            <w:pPr>
              <w:jc w:val="center"/>
              <w:rPr>
                <w:rFonts w:eastAsia="Times New Roman" w:cs="Arial"/>
                <w:color w:val="auto"/>
              </w:rPr>
            </w:pPr>
            <w:r w:rsidRPr="002B7F40">
              <w:rPr>
                <w:rFonts w:eastAsia="Times New Roman" w:cs="Arial"/>
                <w:color w:val="auto"/>
                <w:lang w:val="en-US"/>
              </w:rPr>
              <w:t>34%</w:t>
            </w:r>
          </w:p>
        </w:tc>
        <w:tc>
          <w:tcPr>
            <w:tcW w:w="1023" w:type="dxa"/>
            <w:tcBorders>
              <w:top w:val="nil"/>
              <w:left w:val="nil"/>
              <w:bottom w:val="single" w:sz="4" w:space="0" w:color="auto"/>
              <w:right w:val="single" w:sz="4" w:space="0" w:color="auto"/>
            </w:tcBorders>
            <w:shd w:val="clear" w:color="auto" w:fill="auto"/>
            <w:vAlign w:val="center"/>
            <w:hideMark/>
          </w:tcPr>
          <w:p w14:paraId="5319808E" w14:textId="77777777" w:rsidR="0004281F" w:rsidRPr="002B7F40" w:rsidRDefault="0004281F" w:rsidP="0004281F">
            <w:pPr>
              <w:jc w:val="center"/>
              <w:rPr>
                <w:rFonts w:eastAsia="Times New Roman" w:cs="Arial"/>
                <w:color w:val="auto"/>
              </w:rPr>
            </w:pPr>
            <w:r w:rsidRPr="002B7F40">
              <w:rPr>
                <w:rFonts w:eastAsia="Times New Roman" w:cs="Arial"/>
                <w:color w:val="auto"/>
                <w:lang w:val="en-US"/>
              </w:rPr>
              <w:t>17%</w:t>
            </w:r>
          </w:p>
        </w:tc>
        <w:tc>
          <w:tcPr>
            <w:tcW w:w="1023" w:type="dxa"/>
            <w:tcBorders>
              <w:top w:val="nil"/>
              <w:left w:val="nil"/>
              <w:bottom w:val="single" w:sz="4" w:space="0" w:color="auto"/>
              <w:right w:val="single" w:sz="4" w:space="0" w:color="auto"/>
            </w:tcBorders>
            <w:shd w:val="clear" w:color="auto" w:fill="auto"/>
            <w:vAlign w:val="center"/>
            <w:hideMark/>
          </w:tcPr>
          <w:p w14:paraId="1465B356" w14:textId="77777777" w:rsidR="0004281F" w:rsidRPr="002B7F40" w:rsidRDefault="0004281F" w:rsidP="0004281F">
            <w:pPr>
              <w:jc w:val="center"/>
              <w:rPr>
                <w:rFonts w:eastAsia="Times New Roman" w:cs="Arial"/>
                <w:color w:val="auto"/>
              </w:rPr>
            </w:pPr>
            <w:r w:rsidRPr="002B7F40">
              <w:rPr>
                <w:rFonts w:eastAsia="Times New Roman" w:cs="Arial"/>
                <w:color w:val="auto"/>
                <w:lang w:val="en-US"/>
              </w:rPr>
              <w:t>31%</w:t>
            </w:r>
          </w:p>
        </w:tc>
        <w:tc>
          <w:tcPr>
            <w:tcW w:w="1024" w:type="dxa"/>
            <w:tcBorders>
              <w:top w:val="nil"/>
              <w:left w:val="nil"/>
              <w:bottom w:val="single" w:sz="4" w:space="0" w:color="auto"/>
              <w:right w:val="single" w:sz="4" w:space="0" w:color="auto"/>
            </w:tcBorders>
            <w:shd w:val="clear" w:color="auto" w:fill="auto"/>
            <w:vAlign w:val="center"/>
            <w:hideMark/>
          </w:tcPr>
          <w:p w14:paraId="1C9DA55D" w14:textId="77777777" w:rsidR="0004281F" w:rsidRPr="002B7F40" w:rsidRDefault="0004281F" w:rsidP="0004281F">
            <w:pPr>
              <w:jc w:val="center"/>
              <w:rPr>
                <w:rFonts w:eastAsia="Times New Roman" w:cs="Arial"/>
                <w:color w:val="auto"/>
              </w:rPr>
            </w:pPr>
            <w:r w:rsidRPr="002B7F40">
              <w:rPr>
                <w:rFonts w:eastAsia="Times New Roman" w:cs="Arial"/>
                <w:color w:val="auto"/>
                <w:lang w:val="en-US"/>
              </w:rPr>
              <w:t>8%</w:t>
            </w:r>
          </w:p>
        </w:tc>
      </w:tr>
      <w:tr w:rsidR="0004281F" w:rsidRPr="002B7F40" w14:paraId="15D5E762" w14:textId="77777777" w:rsidTr="0004281F">
        <w:trPr>
          <w:trHeight w:val="29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C6B30" w14:textId="77777777" w:rsidR="0004281F" w:rsidRPr="002B7F40" w:rsidRDefault="0004281F" w:rsidP="0004281F">
            <w:pPr>
              <w:rPr>
                <w:rFonts w:eastAsia="Times New Roman" w:cs="Arial"/>
              </w:rPr>
            </w:pPr>
            <w:r w:rsidRPr="002B7F40">
              <w:rPr>
                <w:rFonts w:eastAsia="Times New Roman" w:cs="Arial"/>
              </w:rPr>
              <w:t>Q2 2023/24</w:t>
            </w:r>
          </w:p>
        </w:tc>
        <w:tc>
          <w:tcPr>
            <w:tcW w:w="1023" w:type="dxa"/>
            <w:tcBorders>
              <w:top w:val="single" w:sz="4" w:space="0" w:color="auto"/>
              <w:left w:val="nil"/>
              <w:bottom w:val="single" w:sz="4" w:space="0" w:color="auto"/>
              <w:right w:val="single" w:sz="4" w:space="0" w:color="auto"/>
            </w:tcBorders>
            <w:shd w:val="clear" w:color="auto" w:fill="auto"/>
            <w:vAlign w:val="center"/>
          </w:tcPr>
          <w:p w14:paraId="778904DF" w14:textId="77777777" w:rsidR="0004281F" w:rsidRPr="002B7F40" w:rsidRDefault="0004281F" w:rsidP="0004281F">
            <w:pPr>
              <w:jc w:val="center"/>
              <w:rPr>
                <w:rFonts w:eastAsia="Times New Roman" w:cs="Arial"/>
                <w:color w:val="auto"/>
                <w:lang w:val="en-US"/>
              </w:rPr>
            </w:pPr>
            <w:r w:rsidRPr="002B7F40">
              <w:rPr>
                <w:rFonts w:eastAsia="Times New Roman" w:cs="Arial"/>
                <w:color w:val="auto"/>
                <w:lang w:val="en-US"/>
              </w:rPr>
              <w:t>24%</w:t>
            </w:r>
          </w:p>
        </w:tc>
        <w:tc>
          <w:tcPr>
            <w:tcW w:w="1023" w:type="dxa"/>
            <w:tcBorders>
              <w:top w:val="single" w:sz="4" w:space="0" w:color="auto"/>
              <w:left w:val="nil"/>
              <w:bottom w:val="single" w:sz="4" w:space="0" w:color="auto"/>
              <w:right w:val="single" w:sz="4" w:space="0" w:color="auto"/>
            </w:tcBorders>
            <w:shd w:val="clear" w:color="auto" w:fill="auto"/>
            <w:vAlign w:val="center"/>
          </w:tcPr>
          <w:p w14:paraId="5E8CE98D" w14:textId="77777777" w:rsidR="0004281F" w:rsidRPr="002B7F40" w:rsidRDefault="0004281F" w:rsidP="0004281F">
            <w:pPr>
              <w:jc w:val="center"/>
              <w:rPr>
                <w:rFonts w:eastAsia="Times New Roman" w:cs="Arial"/>
                <w:color w:val="auto"/>
                <w:lang w:val="en-US"/>
              </w:rPr>
            </w:pPr>
            <w:r w:rsidRPr="002B7F40">
              <w:rPr>
                <w:rFonts w:eastAsia="Times New Roman" w:cs="Arial"/>
                <w:color w:val="auto"/>
                <w:lang w:val="en-US"/>
              </w:rPr>
              <w:t>7%</w:t>
            </w:r>
          </w:p>
        </w:tc>
        <w:tc>
          <w:tcPr>
            <w:tcW w:w="1024" w:type="dxa"/>
            <w:tcBorders>
              <w:top w:val="single" w:sz="4" w:space="0" w:color="auto"/>
              <w:left w:val="nil"/>
              <w:bottom w:val="single" w:sz="4" w:space="0" w:color="auto"/>
              <w:right w:val="single" w:sz="4" w:space="0" w:color="auto"/>
            </w:tcBorders>
            <w:shd w:val="clear" w:color="auto" w:fill="auto"/>
            <w:vAlign w:val="center"/>
          </w:tcPr>
          <w:p w14:paraId="5EE8C0E1" w14:textId="77777777" w:rsidR="0004281F" w:rsidRPr="002B7F40" w:rsidRDefault="0004281F" w:rsidP="0004281F">
            <w:pPr>
              <w:jc w:val="center"/>
              <w:rPr>
                <w:rFonts w:eastAsia="Times New Roman" w:cs="Arial"/>
                <w:color w:val="auto"/>
                <w:lang w:val="en-US"/>
              </w:rPr>
            </w:pPr>
            <w:r w:rsidRPr="002B7F40">
              <w:rPr>
                <w:rFonts w:eastAsia="Times New Roman" w:cs="Arial"/>
                <w:color w:val="auto"/>
                <w:lang w:val="en-US"/>
              </w:rPr>
              <w:t>29%</w:t>
            </w:r>
          </w:p>
        </w:tc>
        <w:tc>
          <w:tcPr>
            <w:tcW w:w="1023" w:type="dxa"/>
            <w:tcBorders>
              <w:top w:val="single" w:sz="4" w:space="0" w:color="auto"/>
              <w:left w:val="nil"/>
              <w:bottom w:val="single" w:sz="4" w:space="0" w:color="auto"/>
              <w:right w:val="single" w:sz="4" w:space="0" w:color="auto"/>
            </w:tcBorders>
            <w:shd w:val="clear" w:color="auto" w:fill="auto"/>
            <w:vAlign w:val="center"/>
          </w:tcPr>
          <w:p w14:paraId="223C5ED7" w14:textId="77777777" w:rsidR="0004281F" w:rsidRPr="002B7F40" w:rsidRDefault="0004281F" w:rsidP="0004281F">
            <w:pPr>
              <w:jc w:val="center"/>
              <w:rPr>
                <w:rFonts w:eastAsia="Times New Roman" w:cs="Arial"/>
                <w:color w:val="auto"/>
                <w:lang w:val="en-US"/>
              </w:rPr>
            </w:pPr>
            <w:r w:rsidRPr="002B7F40">
              <w:rPr>
                <w:rFonts w:eastAsia="Times New Roman" w:cs="Arial"/>
                <w:color w:val="auto"/>
                <w:lang w:val="en-US"/>
              </w:rPr>
              <w:t>19%</w:t>
            </w:r>
          </w:p>
        </w:tc>
        <w:tc>
          <w:tcPr>
            <w:tcW w:w="1023" w:type="dxa"/>
            <w:tcBorders>
              <w:top w:val="single" w:sz="4" w:space="0" w:color="auto"/>
              <w:left w:val="nil"/>
              <w:bottom w:val="single" w:sz="4" w:space="0" w:color="auto"/>
              <w:right w:val="single" w:sz="4" w:space="0" w:color="auto"/>
            </w:tcBorders>
            <w:shd w:val="clear" w:color="auto" w:fill="auto"/>
            <w:vAlign w:val="center"/>
          </w:tcPr>
          <w:p w14:paraId="010F358D" w14:textId="77777777" w:rsidR="0004281F" w:rsidRPr="002B7F40" w:rsidRDefault="0004281F" w:rsidP="0004281F">
            <w:pPr>
              <w:jc w:val="center"/>
              <w:rPr>
                <w:rFonts w:eastAsia="Times New Roman" w:cs="Arial"/>
                <w:color w:val="auto"/>
                <w:lang w:val="en-US"/>
              </w:rPr>
            </w:pPr>
            <w:r w:rsidRPr="002B7F40">
              <w:rPr>
                <w:rFonts w:eastAsia="Times New Roman" w:cs="Arial"/>
                <w:color w:val="auto"/>
                <w:lang w:val="en-US"/>
              </w:rPr>
              <w:t>31%</w:t>
            </w:r>
          </w:p>
        </w:tc>
        <w:tc>
          <w:tcPr>
            <w:tcW w:w="1024" w:type="dxa"/>
            <w:tcBorders>
              <w:top w:val="single" w:sz="4" w:space="0" w:color="auto"/>
              <w:left w:val="nil"/>
              <w:bottom w:val="single" w:sz="4" w:space="0" w:color="auto"/>
              <w:right w:val="single" w:sz="4" w:space="0" w:color="auto"/>
            </w:tcBorders>
            <w:shd w:val="clear" w:color="auto" w:fill="auto"/>
            <w:vAlign w:val="center"/>
          </w:tcPr>
          <w:p w14:paraId="3F8614BA" w14:textId="77777777" w:rsidR="0004281F" w:rsidRPr="002B7F40" w:rsidRDefault="0004281F" w:rsidP="0004281F">
            <w:pPr>
              <w:jc w:val="center"/>
              <w:rPr>
                <w:rFonts w:eastAsia="Times New Roman" w:cs="Arial"/>
                <w:color w:val="auto"/>
                <w:lang w:val="en-US"/>
              </w:rPr>
            </w:pPr>
            <w:r w:rsidRPr="002B7F40">
              <w:rPr>
                <w:rFonts w:eastAsia="Times New Roman" w:cs="Arial"/>
                <w:color w:val="auto"/>
                <w:lang w:val="en-US"/>
              </w:rPr>
              <w:t>8%</w:t>
            </w:r>
          </w:p>
        </w:tc>
      </w:tr>
    </w:tbl>
    <w:p w14:paraId="56D591C4" w14:textId="70553ACB" w:rsidR="002B7F40" w:rsidRPr="002B7F40" w:rsidRDefault="002B7F40" w:rsidP="00F86A73">
      <w:pPr>
        <w:pStyle w:val="BodyText"/>
        <w:rPr>
          <w:rFonts w:cs="Arial"/>
        </w:rPr>
      </w:pPr>
    </w:p>
    <w:p w14:paraId="28627056" w14:textId="77777777" w:rsidR="0095676B" w:rsidRDefault="0095676B" w:rsidP="002B7F40">
      <w:pPr>
        <w:rPr>
          <w:rStyle w:val="Heading4Char"/>
        </w:rPr>
      </w:pPr>
    </w:p>
    <w:p w14:paraId="3B772E22" w14:textId="25FAE09D" w:rsidR="007C3F63" w:rsidRPr="002B7F40" w:rsidRDefault="007C3F63" w:rsidP="007C3F63">
      <w:pPr>
        <w:pStyle w:val="Heading4"/>
      </w:pPr>
      <w:bookmarkStart w:id="17" w:name="_Ref166834299"/>
      <w:r w:rsidRPr="002B7F40">
        <w:t>5.</w:t>
      </w:r>
      <w:r>
        <w:t>2</w:t>
      </w:r>
      <w:r>
        <w:tab/>
      </w:r>
      <w:r w:rsidRPr="002B7F40">
        <w:t xml:space="preserve"> Domain </w:t>
      </w:r>
      <w:r>
        <w:t>3</w:t>
      </w:r>
      <w:r w:rsidRPr="002B7F40">
        <w:t xml:space="preserve">: </w:t>
      </w:r>
      <w:r>
        <w:t>Inclusive leadership</w:t>
      </w:r>
      <w:bookmarkEnd w:id="17"/>
    </w:p>
    <w:p w14:paraId="435F0F9E" w14:textId="02DA72C6" w:rsidR="002B7F40" w:rsidRPr="007C3F63" w:rsidRDefault="002B7F40" w:rsidP="007C3F63">
      <w:pPr>
        <w:pStyle w:val="BodyText"/>
        <w:rPr>
          <w:rFonts w:cs="Arial"/>
        </w:rPr>
      </w:pPr>
      <w:r w:rsidRPr="007C3F63">
        <w:rPr>
          <w:rStyle w:val="BodyTextChar"/>
        </w:rPr>
        <w:t xml:space="preserve">3B: Board/Committee papers (including minutes) identify equality and health inequalities related impacts and risks and how they will be mitigated and </w:t>
      </w:r>
      <w:proofErr w:type="gramStart"/>
      <w:r w:rsidRPr="007C3F63">
        <w:rPr>
          <w:rStyle w:val="BodyTextChar"/>
        </w:rPr>
        <w:t>managed</w:t>
      </w:r>
      <w:proofErr w:type="gramEnd"/>
    </w:p>
    <w:p w14:paraId="153CB04A" w14:textId="1206A511" w:rsidR="002B7F40" w:rsidRPr="002B7F40" w:rsidRDefault="002B7F40" w:rsidP="002B7F40">
      <w:pPr>
        <w:spacing w:line="259" w:lineRule="auto"/>
        <w:rPr>
          <w:rFonts w:cs="Arial"/>
        </w:rPr>
      </w:pPr>
      <w:r w:rsidRPr="002B7F40">
        <w:rPr>
          <w:rFonts w:cs="Arial"/>
          <w:b/>
        </w:rPr>
        <w:br/>
      </w:r>
      <w:r w:rsidRPr="002B7F40">
        <w:rPr>
          <w:rFonts w:cs="Arial"/>
        </w:rPr>
        <w:t xml:space="preserve">Papers submitted to the ICB Board or other formal committees must detail how the paper is going to improve health outcomes and take </w:t>
      </w:r>
      <w:proofErr w:type="gramStart"/>
      <w:r w:rsidRPr="002B7F40">
        <w:rPr>
          <w:rFonts w:cs="Arial"/>
        </w:rPr>
        <w:t>inequalities  -</w:t>
      </w:r>
      <w:proofErr w:type="gramEnd"/>
      <w:r w:rsidRPr="002B7F40">
        <w:rPr>
          <w:rFonts w:cs="Arial"/>
        </w:rPr>
        <w:t xml:space="preserve"> extract below from committee front sheets:</w:t>
      </w:r>
    </w:p>
    <w:p w14:paraId="5443B902" w14:textId="77777777" w:rsidR="002B7F40" w:rsidRPr="002B7F40" w:rsidRDefault="002B7F40" w:rsidP="002B7F40">
      <w:pPr>
        <w:spacing w:line="259" w:lineRule="auto"/>
        <w:rPr>
          <w:rFonts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35"/>
        <w:gridCol w:w="5656"/>
      </w:tblGrid>
      <w:tr w:rsidR="002B7F40" w:rsidRPr="002B7F40" w14:paraId="138E1BC0" w14:textId="77777777" w:rsidTr="007D575C">
        <w:trPr>
          <w:trHeight w:val="285"/>
        </w:trPr>
        <w:tc>
          <w:tcPr>
            <w:tcW w:w="3595" w:type="dxa"/>
          </w:tcPr>
          <w:p w14:paraId="451D6F6C" w14:textId="77777777" w:rsidR="002B7F40" w:rsidRPr="002B7F40" w:rsidRDefault="002B7F40" w:rsidP="007D575C">
            <w:pPr>
              <w:rPr>
                <w:rFonts w:cs="Arial"/>
              </w:rPr>
            </w:pPr>
            <w:r w:rsidRPr="002B7F40">
              <w:rPr>
                <w:rFonts w:cs="Arial"/>
              </w:rPr>
              <w:t>Improve outcomes in population health and healthcare</w:t>
            </w:r>
          </w:p>
        </w:tc>
        <w:tc>
          <w:tcPr>
            <w:tcW w:w="6328" w:type="dxa"/>
          </w:tcPr>
          <w:p w14:paraId="15485914" w14:textId="77777777" w:rsidR="002B7F40" w:rsidRPr="002B7F40" w:rsidRDefault="002B7F40" w:rsidP="007D575C">
            <w:pPr>
              <w:rPr>
                <w:rFonts w:cs="Arial"/>
              </w:rPr>
            </w:pPr>
            <w:r w:rsidRPr="002B7F40">
              <w:rPr>
                <w:rFonts w:cs="Arial"/>
              </w:rPr>
              <w:t>A summary explanation should be inserted. ‘N/A’ should be used in exceptional circumstances. If a paper doesn’t contribute to the core aims, then it is questionable why it would be Board/Committee business.</w:t>
            </w:r>
          </w:p>
        </w:tc>
      </w:tr>
      <w:tr w:rsidR="002B7F40" w:rsidRPr="002B7F40" w14:paraId="68317873" w14:textId="77777777" w:rsidTr="007D575C">
        <w:trPr>
          <w:trHeight w:val="285"/>
        </w:trPr>
        <w:tc>
          <w:tcPr>
            <w:tcW w:w="3595" w:type="dxa"/>
          </w:tcPr>
          <w:p w14:paraId="4DCB532A" w14:textId="77777777" w:rsidR="002B7F40" w:rsidRPr="002B7F40" w:rsidRDefault="002B7F40" w:rsidP="007D575C">
            <w:pPr>
              <w:rPr>
                <w:rFonts w:cs="Arial"/>
              </w:rPr>
            </w:pPr>
            <w:r w:rsidRPr="002B7F40">
              <w:rPr>
                <w:rFonts w:cs="Arial"/>
              </w:rPr>
              <w:t xml:space="preserve">Tackle inequalities in outcomes, </w:t>
            </w:r>
            <w:proofErr w:type="gramStart"/>
            <w:r w:rsidRPr="002B7F40">
              <w:rPr>
                <w:rFonts w:cs="Arial"/>
              </w:rPr>
              <w:t>experience</w:t>
            </w:r>
            <w:proofErr w:type="gramEnd"/>
            <w:r w:rsidRPr="002B7F40">
              <w:rPr>
                <w:rFonts w:cs="Arial"/>
              </w:rPr>
              <w:t xml:space="preserve"> and access</w:t>
            </w:r>
          </w:p>
        </w:tc>
        <w:tc>
          <w:tcPr>
            <w:tcW w:w="6328" w:type="dxa"/>
          </w:tcPr>
          <w:p w14:paraId="0C4257DD" w14:textId="77777777" w:rsidR="002B7F40" w:rsidRPr="002B7F40" w:rsidRDefault="002B7F40" w:rsidP="007D575C">
            <w:pPr>
              <w:rPr>
                <w:rFonts w:cs="Arial"/>
              </w:rPr>
            </w:pPr>
            <w:r w:rsidRPr="002B7F40">
              <w:rPr>
                <w:rFonts w:cs="Arial"/>
              </w:rPr>
              <w:t>As above.</w:t>
            </w:r>
          </w:p>
        </w:tc>
      </w:tr>
    </w:tbl>
    <w:p w14:paraId="71DB3C46" w14:textId="4CE6B256" w:rsidR="002B7F40" w:rsidRPr="002B7F40" w:rsidRDefault="002B7F40" w:rsidP="002B7F40">
      <w:pPr>
        <w:rPr>
          <w:rFonts w:cs="Arial"/>
          <w:b/>
          <w:sz w:val="32"/>
          <w:szCs w:val="32"/>
        </w:rPr>
      </w:pPr>
    </w:p>
    <w:sectPr w:rsidR="002B7F40" w:rsidRPr="002B7F40" w:rsidSect="00C838F2">
      <w:pgSz w:w="11906" w:h="16838" w:code="9"/>
      <w:pgMar w:top="851" w:right="1928" w:bottom="1247" w:left="107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C3AC2" w14:textId="77777777" w:rsidR="008965E1" w:rsidRDefault="008965E1" w:rsidP="00C62674">
      <w:r>
        <w:separator/>
      </w:r>
    </w:p>
  </w:endnote>
  <w:endnote w:type="continuationSeparator" w:id="0">
    <w:p w14:paraId="5D0D053D" w14:textId="77777777" w:rsidR="008965E1" w:rsidRDefault="008965E1" w:rsidP="00C62674">
      <w:r>
        <w:continuationSeparator/>
      </w:r>
    </w:p>
  </w:endnote>
  <w:endnote w:type="continuationNotice" w:id="1">
    <w:p w14:paraId="21736D74" w14:textId="77777777" w:rsidR="008965E1" w:rsidRDefault="008965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enorite">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FE71" w14:textId="62E497D1" w:rsidR="00254CE2" w:rsidRPr="00FA2623" w:rsidRDefault="00254CE2" w:rsidP="00FA2623">
    <w:pPr>
      <w:pStyle w:val="Footer"/>
      <w:ind w:firstLine="1287"/>
      <w:rPr>
        <w:rFonts w:ascii="Tenorite" w:hAnsi="Tenorite"/>
      </w:rPr>
    </w:pPr>
    <w:r w:rsidRPr="00FA2623">
      <w:rPr>
        <w:rFonts w:ascii="Tenorite" w:hAnsi="Tenorite"/>
        <w:noProof/>
      </w:rPr>
      <mc:AlternateContent>
        <mc:Choice Requires="wps">
          <w:drawing>
            <wp:anchor distT="0" distB="0" distL="114300" distR="114300" simplePos="0" relativeHeight="251658240" behindDoc="1" locked="0" layoutInCell="1" allowOverlap="1" wp14:anchorId="1A040FA4" wp14:editId="5DAAB642">
              <wp:simplePos x="485775" y="10058400"/>
              <wp:positionH relativeFrom="page">
                <wp:posOffset>323850</wp:posOffset>
              </wp:positionH>
              <wp:positionV relativeFrom="page">
                <wp:posOffset>10009505</wp:posOffset>
              </wp:positionV>
              <wp:extent cx="683964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1827F3" id="Straight Connector 4" o:spid="_x0000_s1026" alt="&quot;&quot;"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rsidRPr="00FA2623">
      <w:rPr>
        <w:rFonts w:ascii="Tenorite" w:hAnsi="Tenorite"/>
      </w:rPr>
      <w:fldChar w:fldCharType="begin"/>
    </w:r>
    <w:r w:rsidRPr="00FA2623">
      <w:rPr>
        <w:rFonts w:ascii="Tenorite" w:hAnsi="Tenorite"/>
      </w:rPr>
      <w:instrText xml:space="preserve"> page </w:instrText>
    </w:r>
    <w:r w:rsidRPr="00FA2623">
      <w:rPr>
        <w:rFonts w:ascii="Tenorite" w:hAnsi="Tenorite"/>
      </w:rPr>
      <w:fldChar w:fldCharType="separate"/>
    </w:r>
    <w:r w:rsidRPr="00FA2623">
      <w:rPr>
        <w:rFonts w:ascii="Tenorite" w:hAnsi="Tenorite"/>
        <w:noProof/>
      </w:rPr>
      <w:t>1</w:t>
    </w:r>
    <w:r w:rsidRPr="00FA2623">
      <w:rPr>
        <w:rFonts w:ascii="Tenorite" w:hAnsi="Tenorite"/>
      </w:rPr>
      <w:fldChar w:fldCharType="end"/>
    </w:r>
    <w:r w:rsidR="009945D8" w:rsidRPr="00FA2623">
      <w:rPr>
        <w:rFonts w:ascii="Tenorite" w:hAnsi="Tenorite"/>
      </w:rPr>
      <w:t xml:space="preserve"> </w:t>
    </w:r>
    <w:r w:rsidRPr="00FA2623">
      <w:rPr>
        <w:rStyle w:val="FooterPipe"/>
        <w:rFonts w:ascii="Tenorite" w:hAnsi="Tenorite"/>
      </w:rPr>
      <w:t>|</w:t>
    </w:r>
    <w:r w:rsidR="009945D8" w:rsidRPr="00FA2623">
      <w:rPr>
        <w:rFonts w:ascii="Tenorite" w:hAnsi="Tenorite"/>
      </w:rPr>
      <w:t xml:space="preserve"> </w:t>
    </w:r>
    <w:r w:rsidR="00C244C7">
      <w:rPr>
        <w:rFonts w:ascii="Tenorite" w:hAnsi="Tenorite"/>
      </w:rPr>
      <w:t>EDS Reporting April 2023 to March 2024</w:t>
    </w:r>
    <w:r w:rsidR="00E868F9" w:rsidRPr="00FA2623">
      <w:rPr>
        <w:rFonts w:ascii="Tenorite" w:hAnsi="Tenorite"/>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1B22E" w14:textId="77777777" w:rsidR="008965E1" w:rsidRDefault="008965E1" w:rsidP="00C62674">
      <w:r>
        <w:separator/>
      </w:r>
    </w:p>
  </w:footnote>
  <w:footnote w:type="continuationSeparator" w:id="0">
    <w:p w14:paraId="14371820" w14:textId="77777777" w:rsidR="008965E1" w:rsidRDefault="008965E1" w:rsidP="00C62674">
      <w:r>
        <w:continuationSeparator/>
      </w:r>
    </w:p>
  </w:footnote>
  <w:footnote w:type="continuationNotice" w:id="1">
    <w:p w14:paraId="7EC6A086" w14:textId="77777777" w:rsidR="008965E1" w:rsidRDefault="008965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59A7" w14:textId="07BF9776" w:rsidR="00254CE2" w:rsidRDefault="00286221">
    <w:pPr>
      <w:pStyle w:val="Header"/>
    </w:pPr>
    <w:r>
      <w:rPr>
        <w:noProof/>
      </w:rPr>
      <w:drawing>
        <wp:anchor distT="0" distB="0" distL="114300" distR="114300" simplePos="0" relativeHeight="251659264" behindDoc="1" locked="0" layoutInCell="1" allowOverlap="1" wp14:anchorId="3B57826C" wp14:editId="20121E7E">
          <wp:simplePos x="0" y="0"/>
          <wp:positionH relativeFrom="column">
            <wp:posOffset>7890510</wp:posOffset>
          </wp:positionH>
          <wp:positionV relativeFrom="page">
            <wp:posOffset>342900</wp:posOffset>
          </wp:positionV>
          <wp:extent cx="1097915" cy="827405"/>
          <wp:effectExtent l="0" t="0" r="6985" b="0"/>
          <wp:wrapTight wrapText="bothSides">
            <wp:wrapPolygon edited="0">
              <wp:start x="0" y="0"/>
              <wp:lineTo x="0" y="20887"/>
              <wp:lineTo x="21363" y="20887"/>
              <wp:lineTo x="21363"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82740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54D0" w14:textId="2AE29042" w:rsidR="0010796B" w:rsidRDefault="001079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32AF" w14:textId="50C510AA" w:rsidR="00254CE2" w:rsidRDefault="00254C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6BF4" w14:textId="5C224CA0" w:rsidR="0010796B" w:rsidRDefault="001079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4E2C03"/>
    <w:multiLevelType w:val="hybridMultilevel"/>
    <w:tmpl w:val="4E220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8127B4"/>
    <w:multiLevelType w:val="hybridMultilevel"/>
    <w:tmpl w:val="CDEEB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06B21"/>
    <w:multiLevelType w:val="hybridMultilevel"/>
    <w:tmpl w:val="41108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1922B2"/>
    <w:multiLevelType w:val="hybridMultilevel"/>
    <w:tmpl w:val="75965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61A11EF"/>
    <w:multiLevelType w:val="hybridMultilevel"/>
    <w:tmpl w:val="5484B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B263E28"/>
    <w:multiLevelType w:val="hybridMultilevel"/>
    <w:tmpl w:val="6A36F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EA47B03"/>
    <w:multiLevelType w:val="hybridMultilevel"/>
    <w:tmpl w:val="06565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A284C60"/>
    <w:multiLevelType w:val="hybridMultilevel"/>
    <w:tmpl w:val="8CDC4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E21ECE"/>
    <w:multiLevelType w:val="hybridMultilevel"/>
    <w:tmpl w:val="1848F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0E4B38"/>
    <w:multiLevelType w:val="multilevel"/>
    <w:tmpl w:val="65E4417A"/>
    <w:numStyleLink w:val="NHSListNumbers"/>
  </w:abstractNum>
  <w:abstractNum w:abstractNumId="15" w15:restartNumberingAfterBreak="0">
    <w:nsid w:val="4E8455E5"/>
    <w:multiLevelType w:val="hybridMultilevel"/>
    <w:tmpl w:val="0616B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8A3EDC"/>
    <w:multiLevelType w:val="hybridMultilevel"/>
    <w:tmpl w:val="90824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79E0019"/>
    <w:multiLevelType w:val="hybridMultilevel"/>
    <w:tmpl w:val="D6D06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EC106B"/>
    <w:multiLevelType w:val="hybridMultilevel"/>
    <w:tmpl w:val="B41650A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AE84E35"/>
    <w:multiLevelType w:val="hybridMultilevel"/>
    <w:tmpl w:val="1202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504470"/>
    <w:multiLevelType w:val="hybridMultilevel"/>
    <w:tmpl w:val="8AC66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F33624"/>
    <w:multiLevelType w:val="hybridMultilevel"/>
    <w:tmpl w:val="94A8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233BC5"/>
    <w:multiLevelType w:val="hybridMultilevel"/>
    <w:tmpl w:val="45D2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03C09"/>
    <w:multiLevelType w:val="hybridMultilevel"/>
    <w:tmpl w:val="986E5CFC"/>
    <w:lvl w:ilvl="0" w:tplc="A10243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DA5D30"/>
    <w:multiLevelType w:val="hybridMultilevel"/>
    <w:tmpl w:val="B56696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648390495">
    <w:abstractNumId w:val="6"/>
  </w:num>
  <w:num w:numId="2" w16cid:durableId="751756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3568855">
    <w:abstractNumId w:val="9"/>
  </w:num>
  <w:num w:numId="4" w16cid:durableId="66347059">
    <w:abstractNumId w:val="10"/>
  </w:num>
  <w:num w:numId="5" w16cid:durableId="1718702138">
    <w:abstractNumId w:val="5"/>
  </w:num>
  <w:num w:numId="6" w16cid:durableId="1420642854">
    <w:abstractNumId w:val="0"/>
  </w:num>
  <w:num w:numId="7" w16cid:durableId="2121991593">
    <w:abstractNumId w:val="16"/>
  </w:num>
  <w:num w:numId="8" w16cid:durableId="1796408748">
    <w:abstractNumId w:val="17"/>
  </w:num>
  <w:num w:numId="9" w16cid:durableId="2113623025">
    <w:abstractNumId w:val="3"/>
  </w:num>
  <w:num w:numId="10" w16cid:durableId="283194459">
    <w:abstractNumId w:val="12"/>
  </w:num>
  <w:num w:numId="11" w16cid:durableId="2021198543">
    <w:abstractNumId w:val="22"/>
  </w:num>
  <w:num w:numId="12" w16cid:durableId="380982459">
    <w:abstractNumId w:val="21"/>
  </w:num>
  <w:num w:numId="13" w16cid:durableId="592520659">
    <w:abstractNumId w:val="13"/>
  </w:num>
  <w:num w:numId="14" w16cid:durableId="593586386">
    <w:abstractNumId w:val="8"/>
  </w:num>
  <w:num w:numId="15" w16cid:durableId="2102677142">
    <w:abstractNumId w:val="4"/>
  </w:num>
  <w:num w:numId="16" w16cid:durableId="1617365822">
    <w:abstractNumId w:val="1"/>
  </w:num>
  <w:num w:numId="17" w16cid:durableId="1398165422">
    <w:abstractNumId w:val="23"/>
  </w:num>
  <w:num w:numId="18" w16cid:durableId="182519587">
    <w:abstractNumId w:val="2"/>
  </w:num>
  <w:num w:numId="19" w16cid:durableId="120156923">
    <w:abstractNumId w:val="19"/>
  </w:num>
  <w:num w:numId="20" w16cid:durableId="11291242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5590050">
    <w:abstractNumId w:val="7"/>
  </w:num>
  <w:num w:numId="22" w16cid:durableId="16988918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3578227">
    <w:abstractNumId w:val="11"/>
  </w:num>
  <w:num w:numId="24" w16cid:durableId="632633573">
    <w:abstractNumId w:val="20"/>
  </w:num>
  <w:num w:numId="25" w16cid:durableId="345981244">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F7"/>
    <w:rsid w:val="00003B57"/>
    <w:rsid w:val="0000484F"/>
    <w:rsid w:val="000052D2"/>
    <w:rsid w:val="00007F2D"/>
    <w:rsid w:val="000139EF"/>
    <w:rsid w:val="00023665"/>
    <w:rsid w:val="00023E49"/>
    <w:rsid w:val="0002771E"/>
    <w:rsid w:val="0003080D"/>
    <w:rsid w:val="000308CF"/>
    <w:rsid w:val="00032F6F"/>
    <w:rsid w:val="00036EAB"/>
    <w:rsid w:val="0004281F"/>
    <w:rsid w:val="00042A5F"/>
    <w:rsid w:val="000552A9"/>
    <w:rsid w:val="0005569C"/>
    <w:rsid w:val="000661E4"/>
    <w:rsid w:val="000671F9"/>
    <w:rsid w:val="00073226"/>
    <w:rsid w:val="00073377"/>
    <w:rsid w:val="00074337"/>
    <w:rsid w:val="000762F8"/>
    <w:rsid w:val="00077F82"/>
    <w:rsid w:val="00080805"/>
    <w:rsid w:val="00080856"/>
    <w:rsid w:val="00080D08"/>
    <w:rsid w:val="0008245A"/>
    <w:rsid w:val="00087279"/>
    <w:rsid w:val="00087FD8"/>
    <w:rsid w:val="00090C00"/>
    <w:rsid w:val="00092477"/>
    <w:rsid w:val="0009537D"/>
    <w:rsid w:val="00096849"/>
    <w:rsid w:val="000972C2"/>
    <w:rsid w:val="000A3021"/>
    <w:rsid w:val="000A421E"/>
    <w:rsid w:val="000A44F5"/>
    <w:rsid w:val="000B1B08"/>
    <w:rsid w:val="000B2B4C"/>
    <w:rsid w:val="000B5C04"/>
    <w:rsid w:val="000D3779"/>
    <w:rsid w:val="000D428A"/>
    <w:rsid w:val="000E1FF7"/>
    <w:rsid w:val="000F0D5C"/>
    <w:rsid w:val="000F45AC"/>
    <w:rsid w:val="000F4C92"/>
    <w:rsid w:val="00106B6E"/>
    <w:rsid w:val="0010796B"/>
    <w:rsid w:val="0011344A"/>
    <w:rsid w:val="00113933"/>
    <w:rsid w:val="00116B68"/>
    <w:rsid w:val="0011757A"/>
    <w:rsid w:val="001178B8"/>
    <w:rsid w:val="001241F4"/>
    <w:rsid w:val="001255A9"/>
    <w:rsid w:val="0013297B"/>
    <w:rsid w:val="0013470B"/>
    <w:rsid w:val="0014017A"/>
    <w:rsid w:val="001447DD"/>
    <w:rsid w:val="00155B1F"/>
    <w:rsid w:val="00161CAA"/>
    <w:rsid w:val="0016281C"/>
    <w:rsid w:val="00163CD1"/>
    <w:rsid w:val="001659B6"/>
    <w:rsid w:val="001674D0"/>
    <w:rsid w:val="0017390B"/>
    <w:rsid w:val="00176A34"/>
    <w:rsid w:val="00183958"/>
    <w:rsid w:val="00183B01"/>
    <w:rsid w:val="001854FE"/>
    <w:rsid w:val="00190305"/>
    <w:rsid w:val="001923DD"/>
    <w:rsid w:val="001951FC"/>
    <w:rsid w:val="00195D79"/>
    <w:rsid w:val="00196F50"/>
    <w:rsid w:val="001A3D7E"/>
    <w:rsid w:val="001A6DDA"/>
    <w:rsid w:val="001B6EE4"/>
    <w:rsid w:val="001D1FF3"/>
    <w:rsid w:val="001D3211"/>
    <w:rsid w:val="001D4083"/>
    <w:rsid w:val="001D5BB4"/>
    <w:rsid w:val="001D6D65"/>
    <w:rsid w:val="001E372D"/>
    <w:rsid w:val="001E3A22"/>
    <w:rsid w:val="001E5638"/>
    <w:rsid w:val="002001F8"/>
    <w:rsid w:val="002016EB"/>
    <w:rsid w:val="00207D7D"/>
    <w:rsid w:val="00214A33"/>
    <w:rsid w:val="00214A68"/>
    <w:rsid w:val="00214CD9"/>
    <w:rsid w:val="0021516C"/>
    <w:rsid w:val="00223E95"/>
    <w:rsid w:val="00224B11"/>
    <w:rsid w:val="00226B28"/>
    <w:rsid w:val="00244BB6"/>
    <w:rsid w:val="00245172"/>
    <w:rsid w:val="00245315"/>
    <w:rsid w:val="00246FF7"/>
    <w:rsid w:val="00251E07"/>
    <w:rsid w:val="00253BCE"/>
    <w:rsid w:val="002540F5"/>
    <w:rsid w:val="00254CE2"/>
    <w:rsid w:val="00260421"/>
    <w:rsid w:val="0026080E"/>
    <w:rsid w:val="00261739"/>
    <w:rsid w:val="0026366C"/>
    <w:rsid w:val="00266BBC"/>
    <w:rsid w:val="0027104C"/>
    <w:rsid w:val="00273290"/>
    <w:rsid w:val="0027399B"/>
    <w:rsid w:val="00280AEC"/>
    <w:rsid w:val="00281427"/>
    <w:rsid w:val="00281A1A"/>
    <w:rsid w:val="00282E63"/>
    <w:rsid w:val="00285172"/>
    <w:rsid w:val="002856DE"/>
    <w:rsid w:val="00286221"/>
    <w:rsid w:val="00291497"/>
    <w:rsid w:val="0029691F"/>
    <w:rsid w:val="002A08C9"/>
    <w:rsid w:val="002A2906"/>
    <w:rsid w:val="002A3BB0"/>
    <w:rsid w:val="002A776A"/>
    <w:rsid w:val="002A7AA2"/>
    <w:rsid w:val="002A7F73"/>
    <w:rsid w:val="002B248A"/>
    <w:rsid w:val="002B534C"/>
    <w:rsid w:val="002B552D"/>
    <w:rsid w:val="002B75DE"/>
    <w:rsid w:val="002B7F40"/>
    <w:rsid w:val="002C1181"/>
    <w:rsid w:val="002D0893"/>
    <w:rsid w:val="002D1AD5"/>
    <w:rsid w:val="002D6BF8"/>
    <w:rsid w:val="002E1A03"/>
    <w:rsid w:val="002E22AE"/>
    <w:rsid w:val="002E2DE4"/>
    <w:rsid w:val="002E3745"/>
    <w:rsid w:val="002E68E1"/>
    <w:rsid w:val="002F6EF9"/>
    <w:rsid w:val="003002BB"/>
    <w:rsid w:val="0030294A"/>
    <w:rsid w:val="003054DC"/>
    <w:rsid w:val="0030692D"/>
    <w:rsid w:val="0032080E"/>
    <w:rsid w:val="003219E8"/>
    <w:rsid w:val="00321FDC"/>
    <w:rsid w:val="00322675"/>
    <w:rsid w:val="00323EF4"/>
    <w:rsid w:val="0032563D"/>
    <w:rsid w:val="0032702A"/>
    <w:rsid w:val="00327FD4"/>
    <w:rsid w:val="00333837"/>
    <w:rsid w:val="00336424"/>
    <w:rsid w:val="003506FF"/>
    <w:rsid w:val="00350C76"/>
    <w:rsid w:val="003512AE"/>
    <w:rsid w:val="00360CD8"/>
    <w:rsid w:val="00361D41"/>
    <w:rsid w:val="003674C7"/>
    <w:rsid w:val="00376093"/>
    <w:rsid w:val="00380AD0"/>
    <w:rsid w:val="00383FE4"/>
    <w:rsid w:val="00386809"/>
    <w:rsid w:val="003905C9"/>
    <w:rsid w:val="0039090D"/>
    <w:rsid w:val="00392E76"/>
    <w:rsid w:val="00394044"/>
    <w:rsid w:val="003A50C2"/>
    <w:rsid w:val="003B0C68"/>
    <w:rsid w:val="003B1A1B"/>
    <w:rsid w:val="003B35B5"/>
    <w:rsid w:val="003B4D87"/>
    <w:rsid w:val="003B6559"/>
    <w:rsid w:val="003B6D54"/>
    <w:rsid w:val="003C3317"/>
    <w:rsid w:val="003C56CE"/>
    <w:rsid w:val="003C6D0A"/>
    <w:rsid w:val="003E1DF4"/>
    <w:rsid w:val="003F667F"/>
    <w:rsid w:val="0041074D"/>
    <w:rsid w:val="004131D2"/>
    <w:rsid w:val="00420207"/>
    <w:rsid w:val="00431145"/>
    <w:rsid w:val="0043220C"/>
    <w:rsid w:val="00433094"/>
    <w:rsid w:val="004376B7"/>
    <w:rsid w:val="00441A9A"/>
    <w:rsid w:val="00441BD5"/>
    <w:rsid w:val="00441D60"/>
    <w:rsid w:val="0044557E"/>
    <w:rsid w:val="004464D7"/>
    <w:rsid w:val="00450FE8"/>
    <w:rsid w:val="00452BCA"/>
    <w:rsid w:val="004543D6"/>
    <w:rsid w:val="00454865"/>
    <w:rsid w:val="00457551"/>
    <w:rsid w:val="00464871"/>
    <w:rsid w:val="00475FF2"/>
    <w:rsid w:val="004761A1"/>
    <w:rsid w:val="004836B2"/>
    <w:rsid w:val="00492C12"/>
    <w:rsid w:val="004A1713"/>
    <w:rsid w:val="004A1A66"/>
    <w:rsid w:val="004A3123"/>
    <w:rsid w:val="004A7359"/>
    <w:rsid w:val="004B77AE"/>
    <w:rsid w:val="004C27D6"/>
    <w:rsid w:val="004C4F48"/>
    <w:rsid w:val="004C63A9"/>
    <w:rsid w:val="004D1F54"/>
    <w:rsid w:val="004D30D3"/>
    <w:rsid w:val="004D7141"/>
    <w:rsid w:val="004D7873"/>
    <w:rsid w:val="004D7C59"/>
    <w:rsid w:val="004E540D"/>
    <w:rsid w:val="004F4248"/>
    <w:rsid w:val="004F587D"/>
    <w:rsid w:val="004F799E"/>
    <w:rsid w:val="00500A4F"/>
    <w:rsid w:val="00503A46"/>
    <w:rsid w:val="00504F4B"/>
    <w:rsid w:val="005079D6"/>
    <w:rsid w:val="00510CDF"/>
    <w:rsid w:val="00512869"/>
    <w:rsid w:val="0051422E"/>
    <w:rsid w:val="00516192"/>
    <w:rsid w:val="00523473"/>
    <w:rsid w:val="00523DE4"/>
    <w:rsid w:val="00524EDA"/>
    <w:rsid w:val="00534D4A"/>
    <w:rsid w:val="00537CE7"/>
    <w:rsid w:val="00543737"/>
    <w:rsid w:val="0055406D"/>
    <w:rsid w:val="00554E3B"/>
    <w:rsid w:val="005662C6"/>
    <w:rsid w:val="00570BC3"/>
    <w:rsid w:val="005739D0"/>
    <w:rsid w:val="005806C1"/>
    <w:rsid w:val="00583905"/>
    <w:rsid w:val="00584332"/>
    <w:rsid w:val="00584D92"/>
    <w:rsid w:val="005978E9"/>
    <w:rsid w:val="005C546E"/>
    <w:rsid w:val="005C591A"/>
    <w:rsid w:val="005D6E20"/>
    <w:rsid w:val="005E1A3A"/>
    <w:rsid w:val="005E4CF5"/>
    <w:rsid w:val="005E5504"/>
    <w:rsid w:val="005F2D40"/>
    <w:rsid w:val="005F4852"/>
    <w:rsid w:val="006049DD"/>
    <w:rsid w:val="0060790E"/>
    <w:rsid w:val="00610A59"/>
    <w:rsid w:val="0061177E"/>
    <w:rsid w:val="006120DC"/>
    <w:rsid w:val="0061299F"/>
    <w:rsid w:val="0061339D"/>
    <w:rsid w:val="00621215"/>
    <w:rsid w:val="00630977"/>
    <w:rsid w:val="0063224F"/>
    <w:rsid w:val="006328A1"/>
    <w:rsid w:val="006405EA"/>
    <w:rsid w:val="00640ACE"/>
    <w:rsid w:val="006428EC"/>
    <w:rsid w:val="00645835"/>
    <w:rsid w:val="0064622F"/>
    <w:rsid w:val="006506AE"/>
    <w:rsid w:val="006543EE"/>
    <w:rsid w:val="006667CE"/>
    <w:rsid w:val="00667CF9"/>
    <w:rsid w:val="006721A6"/>
    <w:rsid w:val="0067577A"/>
    <w:rsid w:val="006A299D"/>
    <w:rsid w:val="006B04BA"/>
    <w:rsid w:val="006B2129"/>
    <w:rsid w:val="006B2BBB"/>
    <w:rsid w:val="006B3373"/>
    <w:rsid w:val="006B4A3D"/>
    <w:rsid w:val="006B5423"/>
    <w:rsid w:val="006C6912"/>
    <w:rsid w:val="006C7237"/>
    <w:rsid w:val="006D2C50"/>
    <w:rsid w:val="006D4369"/>
    <w:rsid w:val="006D4B3E"/>
    <w:rsid w:val="006D5947"/>
    <w:rsid w:val="006E268E"/>
    <w:rsid w:val="006E4D17"/>
    <w:rsid w:val="006E6B17"/>
    <w:rsid w:val="006F2E7B"/>
    <w:rsid w:val="006F396B"/>
    <w:rsid w:val="006F4EA3"/>
    <w:rsid w:val="00700380"/>
    <w:rsid w:val="00702CA1"/>
    <w:rsid w:val="00705DE9"/>
    <w:rsid w:val="007066B0"/>
    <w:rsid w:val="007071C4"/>
    <w:rsid w:val="00707A57"/>
    <w:rsid w:val="0071469B"/>
    <w:rsid w:val="00717980"/>
    <w:rsid w:val="00720E16"/>
    <w:rsid w:val="007263E2"/>
    <w:rsid w:val="007460A2"/>
    <w:rsid w:val="00746CFE"/>
    <w:rsid w:val="00747F8E"/>
    <w:rsid w:val="00747FE5"/>
    <w:rsid w:val="0075223F"/>
    <w:rsid w:val="00752494"/>
    <w:rsid w:val="007542A0"/>
    <w:rsid w:val="00754303"/>
    <w:rsid w:val="007544C4"/>
    <w:rsid w:val="00754F91"/>
    <w:rsid w:val="007603ED"/>
    <w:rsid w:val="00763BB6"/>
    <w:rsid w:val="00764CD6"/>
    <w:rsid w:val="007704E9"/>
    <w:rsid w:val="00772F4C"/>
    <w:rsid w:val="00773F46"/>
    <w:rsid w:val="007751B0"/>
    <w:rsid w:val="007808F8"/>
    <w:rsid w:val="0078133C"/>
    <w:rsid w:val="0078620D"/>
    <w:rsid w:val="00787AD2"/>
    <w:rsid w:val="00787E7B"/>
    <w:rsid w:val="007904B2"/>
    <w:rsid w:val="00796318"/>
    <w:rsid w:val="00797721"/>
    <w:rsid w:val="007C3F63"/>
    <w:rsid w:val="007C57D8"/>
    <w:rsid w:val="007D15F2"/>
    <w:rsid w:val="007D5E2A"/>
    <w:rsid w:val="007E047C"/>
    <w:rsid w:val="007E23CB"/>
    <w:rsid w:val="007E60BE"/>
    <w:rsid w:val="007F2322"/>
    <w:rsid w:val="007F2E69"/>
    <w:rsid w:val="007F5412"/>
    <w:rsid w:val="007F666C"/>
    <w:rsid w:val="007F6E18"/>
    <w:rsid w:val="007F6F3D"/>
    <w:rsid w:val="00801126"/>
    <w:rsid w:val="00802E21"/>
    <w:rsid w:val="0080574C"/>
    <w:rsid w:val="00813884"/>
    <w:rsid w:val="0081533B"/>
    <w:rsid w:val="00821DF2"/>
    <w:rsid w:val="00823810"/>
    <w:rsid w:val="008314C1"/>
    <w:rsid w:val="00831686"/>
    <w:rsid w:val="00833395"/>
    <w:rsid w:val="00837FAC"/>
    <w:rsid w:val="0084344C"/>
    <w:rsid w:val="008451E4"/>
    <w:rsid w:val="00846A62"/>
    <w:rsid w:val="00847F5D"/>
    <w:rsid w:val="00853136"/>
    <w:rsid w:val="008536C5"/>
    <w:rsid w:val="00853C2B"/>
    <w:rsid w:val="008556B8"/>
    <w:rsid w:val="008560AB"/>
    <w:rsid w:val="00860449"/>
    <w:rsid w:val="0086231E"/>
    <w:rsid w:val="00862C91"/>
    <w:rsid w:val="00866346"/>
    <w:rsid w:val="00871278"/>
    <w:rsid w:val="0087289C"/>
    <w:rsid w:val="0087548A"/>
    <w:rsid w:val="00876072"/>
    <w:rsid w:val="0088049F"/>
    <w:rsid w:val="00880564"/>
    <w:rsid w:val="008842BC"/>
    <w:rsid w:val="00885268"/>
    <w:rsid w:val="008965E1"/>
    <w:rsid w:val="008C2BEE"/>
    <w:rsid w:val="008C7710"/>
    <w:rsid w:val="008D64D6"/>
    <w:rsid w:val="008E3DE5"/>
    <w:rsid w:val="008E4F4B"/>
    <w:rsid w:val="008E6AE9"/>
    <w:rsid w:val="008F2573"/>
    <w:rsid w:val="008F3DF3"/>
    <w:rsid w:val="008F6A76"/>
    <w:rsid w:val="00900DEC"/>
    <w:rsid w:val="00912CC6"/>
    <w:rsid w:val="009145F2"/>
    <w:rsid w:val="009175C6"/>
    <w:rsid w:val="00920554"/>
    <w:rsid w:val="009205A7"/>
    <w:rsid w:val="0092186A"/>
    <w:rsid w:val="00924FC4"/>
    <w:rsid w:val="00932588"/>
    <w:rsid w:val="00940F03"/>
    <w:rsid w:val="00942D12"/>
    <w:rsid w:val="009437D8"/>
    <w:rsid w:val="00944199"/>
    <w:rsid w:val="00946D86"/>
    <w:rsid w:val="00947295"/>
    <w:rsid w:val="009539AC"/>
    <w:rsid w:val="00954125"/>
    <w:rsid w:val="009555C2"/>
    <w:rsid w:val="0095586A"/>
    <w:rsid w:val="0095676B"/>
    <w:rsid w:val="00960C8A"/>
    <w:rsid w:val="0097335A"/>
    <w:rsid w:val="0097719E"/>
    <w:rsid w:val="00980754"/>
    <w:rsid w:val="00981245"/>
    <w:rsid w:val="00982EAB"/>
    <w:rsid w:val="00991599"/>
    <w:rsid w:val="00991A82"/>
    <w:rsid w:val="00993036"/>
    <w:rsid w:val="009933FF"/>
    <w:rsid w:val="009945D8"/>
    <w:rsid w:val="00994709"/>
    <w:rsid w:val="00996F3B"/>
    <w:rsid w:val="00997EFA"/>
    <w:rsid w:val="009A0EC0"/>
    <w:rsid w:val="009A120A"/>
    <w:rsid w:val="009A173B"/>
    <w:rsid w:val="009A1A5D"/>
    <w:rsid w:val="009A5927"/>
    <w:rsid w:val="009B06DF"/>
    <w:rsid w:val="009B7C41"/>
    <w:rsid w:val="009C1729"/>
    <w:rsid w:val="009C2CD0"/>
    <w:rsid w:val="009C5580"/>
    <w:rsid w:val="009C7560"/>
    <w:rsid w:val="009C7DCA"/>
    <w:rsid w:val="009D1CC6"/>
    <w:rsid w:val="009D475C"/>
    <w:rsid w:val="009D5912"/>
    <w:rsid w:val="009D63AD"/>
    <w:rsid w:val="009D6F35"/>
    <w:rsid w:val="009D71A8"/>
    <w:rsid w:val="009E0DB6"/>
    <w:rsid w:val="009E142E"/>
    <w:rsid w:val="009E3D5C"/>
    <w:rsid w:val="009E3F20"/>
    <w:rsid w:val="009F03B8"/>
    <w:rsid w:val="009F4304"/>
    <w:rsid w:val="009F74B0"/>
    <w:rsid w:val="00A01DC2"/>
    <w:rsid w:val="00A02393"/>
    <w:rsid w:val="00A03573"/>
    <w:rsid w:val="00A07760"/>
    <w:rsid w:val="00A13EEA"/>
    <w:rsid w:val="00A21F6E"/>
    <w:rsid w:val="00A2502C"/>
    <w:rsid w:val="00A26FFF"/>
    <w:rsid w:val="00A2723B"/>
    <w:rsid w:val="00A30C2E"/>
    <w:rsid w:val="00A31A7A"/>
    <w:rsid w:val="00A33BF1"/>
    <w:rsid w:val="00A3580E"/>
    <w:rsid w:val="00A40560"/>
    <w:rsid w:val="00A47A2E"/>
    <w:rsid w:val="00A50A2F"/>
    <w:rsid w:val="00A5176E"/>
    <w:rsid w:val="00A52758"/>
    <w:rsid w:val="00A55F86"/>
    <w:rsid w:val="00A63291"/>
    <w:rsid w:val="00A67427"/>
    <w:rsid w:val="00A6791B"/>
    <w:rsid w:val="00A704B3"/>
    <w:rsid w:val="00A71DE3"/>
    <w:rsid w:val="00A75FA4"/>
    <w:rsid w:val="00A82EB3"/>
    <w:rsid w:val="00A85C7F"/>
    <w:rsid w:val="00A86624"/>
    <w:rsid w:val="00A87C2B"/>
    <w:rsid w:val="00A90EA7"/>
    <w:rsid w:val="00A933EF"/>
    <w:rsid w:val="00A95623"/>
    <w:rsid w:val="00AA040A"/>
    <w:rsid w:val="00AA5786"/>
    <w:rsid w:val="00AB1EEE"/>
    <w:rsid w:val="00AB508B"/>
    <w:rsid w:val="00AB5FA7"/>
    <w:rsid w:val="00AC067D"/>
    <w:rsid w:val="00AC6913"/>
    <w:rsid w:val="00AC6B95"/>
    <w:rsid w:val="00AC74AD"/>
    <w:rsid w:val="00AD18B5"/>
    <w:rsid w:val="00AD2D15"/>
    <w:rsid w:val="00AD3292"/>
    <w:rsid w:val="00AD433F"/>
    <w:rsid w:val="00AD4715"/>
    <w:rsid w:val="00AE009D"/>
    <w:rsid w:val="00AE28EC"/>
    <w:rsid w:val="00AF1E21"/>
    <w:rsid w:val="00AF2A11"/>
    <w:rsid w:val="00AF316F"/>
    <w:rsid w:val="00AF50EC"/>
    <w:rsid w:val="00AF5256"/>
    <w:rsid w:val="00B02C2D"/>
    <w:rsid w:val="00B045E4"/>
    <w:rsid w:val="00B0463F"/>
    <w:rsid w:val="00B05A8A"/>
    <w:rsid w:val="00B06F89"/>
    <w:rsid w:val="00B145A4"/>
    <w:rsid w:val="00B16CEF"/>
    <w:rsid w:val="00B17E6A"/>
    <w:rsid w:val="00B249D2"/>
    <w:rsid w:val="00B370ED"/>
    <w:rsid w:val="00B378E1"/>
    <w:rsid w:val="00B424F8"/>
    <w:rsid w:val="00B442E5"/>
    <w:rsid w:val="00B507DC"/>
    <w:rsid w:val="00B5440C"/>
    <w:rsid w:val="00B54D05"/>
    <w:rsid w:val="00B62C08"/>
    <w:rsid w:val="00B632C1"/>
    <w:rsid w:val="00B7457F"/>
    <w:rsid w:val="00B83F0B"/>
    <w:rsid w:val="00B8472F"/>
    <w:rsid w:val="00B856E9"/>
    <w:rsid w:val="00B9323A"/>
    <w:rsid w:val="00BA4AD3"/>
    <w:rsid w:val="00BA672F"/>
    <w:rsid w:val="00BA7E91"/>
    <w:rsid w:val="00BB01FB"/>
    <w:rsid w:val="00BB480F"/>
    <w:rsid w:val="00BC1538"/>
    <w:rsid w:val="00BD12C3"/>
    <w:rsid w:val="00BD795A"/>
    <w:rsid w:val="00BE770C"/>
    <w:rsid w:val="00BE7AED"/>
    <w:rsid w:val="00BF44A0"/>
    <w:rsid w:val="00BF4990"/>
    <w:rsid w:val="00BF715B"/>
    <w:rsid w:val="00BF73DF"/>
    <w:rsid w:val="00BF75FD"/>
    <w:rsid w:val="00BF782F"/>
    <w:rsid w:val="00C000B6"/>
    <w:rsid w:val="00C162D9"/>
    <w:rsid w:val="00C16435"/>
    <w:rsid w:val="00C20BF4"/>
    <w:rsid w:val="00C20EF7"/>
    <w:rsid w:val="00C234C5"/>
    <w:rsid w:val="00C244C7"/>
    <w:rsid w:val="00C2636D"/>
    <w:rsid w:val="00C26CEB"/>
    <w:rsid w:val="00C32A46"/>
    <w:rsid w:val="00C378FB"/>
    <w:rsid w:val="00C4190C"/>
    <w:rsid w:val="00C432A5"/>
    <w:rsid w:val="00C4790F"/>
    <w:rsid w:val="00C55429"/>
    <w:rsid w:val="00C61043"/>
    <w:rsid w:val="00C62674"/>
    <w:rsid w:val="00C63AC1"/>
    <w:rsid w:val="00C71AE6"/>
    <w:rsid w:val="00C72057"/>
    <w:rsid w:val="00C76139"/>
    <w:rsid w:val="00C77059"/>
    <w:rsid w:val="00C81115"/>
    <w:rsid w:val="00C838F2"/>
    <w:rsid w:val="00C8623F"/>
    <w:rsid w:val="00C8744C"/>
    <w:rsid w:val="00C93306"/>
    <w:rsid w:val="00C936D7"/>
    <w:rsid w:val="00C93CAA"/>
    <w:rsid w:val="00C94874"/>
    <w:rsid w:val="00CA7FF0"/>
    <w:rsid w:val="00CB207C"/>
    <w:rsid w:val="00CB273B"/>
    <w:rsid w:val="00CB2F7E"/>
    <w:rsid w:val="00CB4716"/>
    <w:rsid w:val="00CB494F"/>
    <w:rsid w:val="00CC1798"/>
    <w:rsid w:val="00CC2151"/>
    <w:rsid w:val="00CC21AF"/>
    <w:rsid w:val="00CC3F06"/>
    <w:rsid w:val="00CC478B"/>
    <w:rsid w:val="00CD04AA"/>
    <w:rsid w:val="00CD3773"/>
    <w:rsid w:val="00CD55D6"/>
    <w:rsid w:val="00CD6CBC"/>
    <w:rsid w:val="00CD6EC5"/>
    <w:rsid w:val="00CE0FD5"/>
    <w:rsid w:val="00CE2C07"/>
    <w:rsid w:val="00CE44F0"/>
    <w:rsid w:val="00CE55F4"/>
    <w:rsid w:val="00CF3E44"/>
    <w:rsid w:val="00CF5762"/>
    <w:rsid w:val="00D05380"/>
    <w:rsid w:val="00D11934"/>
    <w:rsid w:val="00D145A5"/>
    <w:rsid w:val="00D21325"/>
    <w:rsid w:val="00D24575"/>
    <w:rsid w:val="00D3105B"/>
    <w:rsid w:val="00D32642"/>
    <w:rsid w:val="00D32CBD"/>
    <w:rsid w:val="00D366B3"/>
    <w:rsid w:val="00D37523"/>
    <w:rsid w:val="00D375AE"/>
    <w:rsid w:val="00D4398A"/>
    <w:rsid w:val="00D477F3"/>
    <w:rsid w:val="00D50E44"/>
    <w:rsid w:val="00D52614"/>
    <w:rsid w:val="00D530BE"/>
    <w:rsid w:val="00D542C0"/>
    <w:rsid w:val="00D5771C"/>
    <w:rsid w:val="00D64834"/>
    <w:rsid w:val="00D80D4B"/>
    <w:rsid w:val="00DA04F5"/>
    <w:rsid w:val="00DA36B0"/>
    <w:rsid w:val="00DA7AE2"/>
    <w:rsid w:val="00DC7AF1"/>
    <w:rsid w:val="00DC7C55"/>
    <w:rsid w:val="00DD0DDC"/>
    <w:rsid w:val="00DD3690"/>
    <w:rsid w:val="00DD4400"/>
    <w:rsid w:val="00DD4AFD"/>
    <w:rsid w:val="00DE33E9"/>
    <w:rsid w:val="00DE6862"/>
    <w:rsid w:val="00E01307"/>
    <w:rsid w:val="00E01C83"/>
    <w:rsid w:val="00E11537"/>
    <w:rsid w:val="00E14651"/>
    <w:rsid w:val="00E14D97"/>
    <w:rsid w:val="00E20E4A"/>
    <w:rsid w:val="00E213E3"/>
    <w:rsid w:val="00E22DA9"/>
    <w:rsid w:val="00E31080"/>
    <w:rsid w:val="00E33027"/>
    <w:rsid w:val="00E429E5"/>
    <w:rsid w:val="00E45931"/>
    <w:rsid w:val="00E5230B"/>
    <w:rsid w:val="00E54DB2"/>
    <w:rsid w:val="00E5600B"/>
    <w:rsid w:val="00E651A3"/>
    <w:rsid w:val="00E675CC"/>
    <w:rsid w:val="00E71371"/>
    <w:rsid w:val="00E8330D"/>
    <w:rsid w:val="00E8399A"/>
    <w:rsid w:val="00E868F9"/>
    <w:rsid w:val="00E86FB6"/>
    <w:rsid w:val="00E92B01"/>
    <w:rsid w:val="00E92CE6"/>
    <w:rsid w:val="00E966BF"/>
    <w:rsid w:val="00E971B0"/>
    <w:rsid w:val="00EB12B7"/>
    <w:rsid w:val="00EB4FF8"/>
    <w:rsid w:val="00ED006D"/>
    <w:rsid w:val="00ED729E"/>
    <w:rsid w:val="00EE19D4"/>
    <w:rsid w:val="00EE3F4A"/>
    <w:rsid w:val="00EF200D"/>
    <w:rsid w:val="00EF64A3"/>
    <w:rsid w:val="00EF6576"/>
    <w:rsid w:val="00EF676D"/>
    <w:rsid w:val="00F00882"/>
    <w:rsid w:val="00F03D69"/>
    <w:rsid w:val="00F12E22"/>
    <w:rsid w:val="00F12F22"/>
    <w:rsid w:val="00F156E1"/>
    <w:rsid w:val="00F16856"/>
    <w:rsid w:val="00F1709F"/>
    <w:rsid w:val="00F22601"/>
    <w:rsid w:val="00F2462E"/>
    <w:rsid w:val="00F2627E"/>
    <w:rsid w:val="00F264E7"/>
    <w:rsid w:val="00F33463"/>
    <w:rsid w:val="00F35673"/>
    <w:rsid w:val="00F65585"/>
    <w:rsid w:val="00F66A14"/>
    <w:rsid w:val="00F75518"/>
    <w:rsid w:val="00F854F6"/>
    <w:rsid w:val="00F86641"/>
    <w:rsid w:val="00F86A73"/>
    <w:rsid w:val="00F939C7"/>
    <w:rsid w:val="00F93A48"/>
    <w:rsid w:val="00F966B6"/>
    <w:rsid w:val="00FA00B3"/>
    <w:rsid w:val="00FA2623"/>
    <w:rsid w:val="00FA39E3"/>
    <w:rsid w:val="00FC3CA3"/>
    <w:rsid w:val="00FC567E"/>
    <w:rsid w:val="00FC6811"/>
    <w:rsid w:val="00FD0EBA"/>
    <w:rsid w:val="00FD16AF"/>
    <w:rsid w:val="00FD2F1F"/>
    <w:rsid w:val="00FD4951"/>
    <w:rsid w:val="00FD4FBE"/>
    <w:rsid w:val="00FE3CF9"/>
    <w:rsid w:val="00FE55D6"/>
    <w:rsid w:val="00FE693A"/>
    <w:rsid w:val="00FF01FB"/>
    <w:rsid w:val="00FF18CF"/>
    <w:rsid w:val="00FF52CC"/>
    <w:rsid w:val="5E07B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2F5077"/>
  <w15:chartTrackingRefBased/>
  <w15:docId w15:val="{95C99033-090F-43CB-BADA-B9EA2E97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qFormat="1"/>
    <w:lsdException w:name="List Number 3" w:uiPriority="14" w:qFormat="1"/>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qFormat/>
    <w:rsid w:val="00C76139"/>
    <w:pPr>
      <w:keepNext/>
      <w:keepLines/>
      <w:spacing w:before="300" w:after="600" w:line="780" w:lineRule="exact"/>
      <w:contextualSpacing/>
      <w:outlineLvl w:val="0"/>
    </w:pPr>
    <w:rPr>
      <w:rFonts w:eastAsiaTheme="majorEastAsia" w:cstheme="majorBidi"/>
      <w:b/>
      <w:color w:val="005EB8"/>
      <w:sz w:val="60"/>
      <w:szCs w:val="32"/>
    </w:rPr>
  </w:style>
  <w:style w:type="paragraph" w:styleId="Heading2">
    <w:name w:val="heading 2"/>
    <w:basedOn w:val="Normal"/>
    <w:next w:val="BodyText"/>
    <w:link w:val="Heading2Char"/>
    <w:uiPriority w:val="9"/>
    <w:qFormat/>
    <w:rsid w:val="00C76139"/>
    <w:pPr>
      <w:keepNext/>
      <w:keepLines/>
      <w:spacing w:before="60" w:after="280"/>
      <w:outlineLvl w:val="1"/>
    </w:pPr>
    <w:rPr>
      <w:rFonts w:eastAsiaTheme="majorEastAsia" w:cstheme="majorBidi"/>
      <w:b/>
      <w:color w:val="005EB8"/>
      <w:sz w:val="44"/>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139"/>
    <w:rPr>
      <w:rFonts w:eastAsiaTheme="majorEastAsia" w:cstheme="majorBidi"/>
      <w:b/>
      <w:color w:val="005EB8"/>
      <w:sz w:val="60"/>
      <w:szCs w:val="32"/>
    </w:rPr>
  </w:style>
  <w:style w:type="character" w:customStyle="1" w:styleId="Heading2Char">
    <w:name w:val="Heading 2 Char"/>
    <w:basedOn w:val="DefaultParagraphFont"/>
    <w:link w:val="Heading2"/>
    <w:uiPriority w:val="9"/>
    <w:rsid w:val="00C76139"/>
    <w:rPr>
      <w:rFonts w:eastAsiaTheme="majorEastAsia" w:cstheme="majorBidi"/>
      <w:b/>
      <w:color w:val="005EB8"/>
      <w:sz w:val="44"/>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39"/>
    <w:qFormat/>
    <w:rsid w:val="00981245"/>
    <w:pPr>
      <w:outlineLvl w:val="9"/>
    </w:pPr>
  </w:style>
  <w:style w:type="character" w:customStyle="1" w:styleId="FooterChar">
    <w:name w:val="Footer Char"/>
    <w:basedOn w:val="DefaultParagraphFont"/>
    <w:link w:val="Footer"/>
    <w:uiPriority w:val="99"/>
    <w:semiHidden/>
    <w:rsid w:val="005806C1"/>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
      </w:numPr>
      <w:spacing w:after="50"/>
    </w:pPr>
  </w:style>
  <w:style w:type="paragraph" w:styleId="ListBullet2">
    <w:name w:val="List Bullet 2"/>
    <w:basedOn w:val="BodyText"/>
    <w:uiPriority w:val="14"/>
    <w:qFormat/>
    <w:rsid w:val="00F03D69"/>
    <w:pPr>
      <w:numPr>
        <w:ilvl w:val="1"/>
        <w:numId w:val="1"/>
      </w:numPr>
      <w:spacing w:after="50"/>
    </w:pPr>
  </w:style>
  <w:style w:type="paragraph" w:styleId="ListBullet3">
    <w:name w:val="List Bullet 3"/>
    <w:basedOn w:val="BodyText"/>
    <w:uiPriority w:val="99"/>
    <w:semiHidden/>
    <w:qFormat/>
    <w:rsid w:val="00F03D69"/>
    <w:pPr>
      <w:numPr>
        <w:ilvl w:val="2"/>
        <w:numId w:val="1"/>
      </w:numPr>
      <w:contextualSpacing/>
    </w:pPr>
  </w:style>
  <w:style w:type="paragraph" w:styleId="ListBullet4">
    <w:name w:val="List Bullet 4"/>
    <w:basedOn w:val="BodyText"/>
    <w:uiPriority w:val="99"/>
    <w:semiHidden/>
    <w:rsid w:val="00F03D69"/>
    <w:pPr>
      <w:numPr>
        <w:ilvl w:val="3"/>
        <w:numId w:val="1"/>
      </w:numPr>
      <w:contextualSpacing/>
    </w:pPr>
  </w:style>
  <w:style w:type="paragraph" w:styleId="ListBullet5">
    <w:name w:val="List Bullet 5"/>
    <w:basedOn w:val="BodyText"/>
    <w:uiPriority w:val="99"/>
    <w:semiHidden/>
    <w:rsid w:val="00F03D69"/>
    <w:pPr>
      <w:numPr>
        <w:ilvl w:val="4"/>
        <w:numId w:val="1"/>
      </w:numPr>
      <w:contextualSpacing/>
    </w:pPr>
  </w:style>
  <w:style w:type="paragraph" w:styleId="ListContinue">
    <w:name w:val="List Continue"/>
    <w:basedOn w:val="BodyText"/>
    <w:uiPriority w:val="16"/>
    <w:qFormat/>
    <w:rsid w:val="00C93CAA"/>
    <w:pPr>
      <w:spacing w:after="50"/>
      <w:ind w:left="851"/>
    </w:pPr>
  </w:style>
  <w:style w:type="paragraph" w:styleId="ListContinue2">
    <w:name w:val="List Continue 2"/>
    <w:basedOn w:val="BodyText"/>
    <w:uiPriority w:val="16"/>
    <w:qFormat/>
    <w:rsid w:val="00C93CAA"/>
    <w:pPr>
      <w:spacing w:after="50"/>
      <w:ind w:left="1134"/>
    </w:pPr>
  </w:style>
  <w:style w:type="paragraph" w:styleId="ListContinue3">
    <w:name w:val="List Continue 3"/>
    <w:basedOn w:val="BodyText"/>
    <w:uiPriority w:val="16"/>
    <w:qFormat/>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qFormat/>
    <w:rsid w:val="0030692D"/>
    <w:pPr>
      <w:numPr>
        <w:numId w:val="2"/>
      </w:numPr>
      <w:spacing w:after="50"/>
    </w:pPr>
  </w:style>
  <w:style w:type="paragraph" w:styleId="ListNumber2">
    <w:name w:val="List Number 2"/>
    <w:basedOn w:val="BodyText"/>
    <w:uiPriority w:val="16"/>
    <w:qFormat/>
    <w:rsid w:val="0030692D"/>
    <w:pPr>
      <w:numPr>
        <w:ilvl w:val="1"/>
        <w:numId w:val="2"/>
      </w:numPr>
      <w:spacing w:after="50"/>
    </w:pPr>
  </w:style>
  <w:style w:type="paragraph" w:styleId="ListNumber3">
    <w:name w:val="List Number 3"/>
    <w:basedOn w:val="BodyText"/>
    <w:uiPriority w:val="16"/>
    <w:qFormat/>
    <w:rsid w:val="0030692D"/>
    <w:pPr>
      <w:numPr>
        <w:ilvl w:val="2"/>
        <w:numId w:val="2"/>
      </w:numPr>
      <w:spacing w:after="50"/>
    </w:pPr>
  </w:style>
  <w:style w:type="paragraph" w:styleId="ListNumber4">
    <w:name w:val="List Number 4"/>
    <w:basedOn w:val="BodyText"/>
    <w:uiPriority w:val="99"/>
    <w:semiHidden/>
    <w:rsid w:val="0030692D"/>
    <w:pPr>
      <w:numPr>
        <w:ilvl w:val="3"/>
        <w:numId w:val="2"/>
      </w:numPr>
      <w:contextualSpacing/>
    </w:pPr>
  </w:style>
  <w:style w:type="paragraph" w:styleId="ListNumber5">
    <w:name w:val="List Number 5"/>
    <w:basedOn w:val="BodyText"/>
    <w:uiPriority w:val="99"/>
    <w:semiHidden/>
    <w:rsid w:val="0030692D"/>
    <w:pPr>
      <w:numPr>
        <w:ilvl w:val="4"/>
        <w:numId w:val="2"/>
      </w:numPr>
      <w:contextualSpacing/>
    </w:pPr>
  </w:style>
  <w:style w:type="paragraph" w:styleId="ListParagraph">
    <w:name w:val="List Paragraph"/>
    <w:aliases w:val="lev2 list,aHeading 2 - Sussex,F5 List Paragraph,Dot pt,No Spacing1,List Paragraph Char Char Char,Indicator Text,Colorful List - Accent 11,Numbered Para 1,Bullet 1,Bullet Points,MAIN CONTENT,List Paragraph2,Normal numbered,List Paragraph1"/>
    <w:basedOn w:val="Normal"/>
    <w:link w:val="ListParagraphChar"/>
    <w:uiPriority w:val="34"/>
    <w:qFormat/>
    <w:rsid w:val="00DD0DDC"/>
    <w:pPr>
      <w:ind w:left="720"/>
      <w:contextualSpacing/>
    </w:pPr>
  </w:style>
  <w:style w:type="numbering" w:customStyle="1" w:styleId="NHSBullets">
    <w:name w:val="NHS Bullets"/>
    <w:basedOn w:val="NoList"/>
    <w:uiPriority w:val="99"/>
    <w:rsid w:val="00F03D69"/>
    <w:pPr>
      <w:numPr>
        <w:numId w:val="1"/>
      </w:numPr>
    </w:pPr>
  </w:style>
  <w:style w:type="numbering" w:customStyle="1" w:styleId="NHSListNumbers">
    <w:name w:val="NHS List Numbers"/>
    <w:basedOn w:val="NHSBullets"/>
    <w:uiPriority w:val="99"/>
    <w:rsid w:val="0030692D"/>
    <w:pPr>
      <w:numPr>
        <w:numId w:val="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AF1E21"/>
    <w:pPr>
      <w:numPr>
        <w:numId w:val="4"/>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4"/>
      </w:numPr>
    </w:pPr>
  </w:style>
  <w:style w:type="table" w:styleId="TableGrid">
    <w:name w:val="Table Grid"/>
    <w:basedOn w:val="TableNormal"/>
    <w:uiPriority w:val="5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5"/>
      </w:numPr>
    </w:pPr>
  </w:style>
  <w:style w:type="paragraph" w:customStyle="1" w:styleId="Heading2Numbered">
    <w:name w:val="Heading 2 Numbered"/>
    <w:basedOn w:val="Heading2"/>
    <w:next w:val="BodyText"/>
    <w:uiPriority w:val="9"/>
    <w:qFormat/>
    <w:rsid w:val="00833395"/>
    <w:pPr>
      <w:numPr>
        <w:ilvl w:val="1"/>
        <w:numId w:val="5"/>
      </w:numPr>
    </w:pPr>
  </w:style>
  <w:style w:type="paragraph" w:customStyle="1" w:styleId="Heading3Numbered">
    <w:name w:val="Heading 3 Numbered"/>
    <w:basedOn w:val="Heading3"/>
    <w:next w:val="BodyText"/>
    <w:uiPriority w:val="9"/>
    <w:qFormat/>
    <w:rsid w:val="00833395"/>
    <w:pPr>
      <w:numPr>
        <w:ilvl w:val="2"/>
        <w:numId w:val="5"/>
      </w:numPr>
    </w:pPr>
  </w:style>
  <w:style w:type="numbering" w:customStyle="1" w:styleId="NHSHeadings">
    <w:name w:val="NHS Headings"/>
    <w:basedOn w:val="NoList"/>
    <w:uiPriority w:val="99"/>
    <w:rsid w:val="00630977"/>
    <w:pPr>
      <w:numPr>
        <w:numId w:val="5"/>
      </w:numPr>
    </w:pPr>
  </w:style>
  <w:style w:type="numbering" w:customStyle="1" w:styleId="NHSBodyText">
    <w:name w:val="NHS Body Text"/>
    <w:basedOn w:val="NoList"/>
    <w:uiPriority w:val="99"/>
    <w:rsid w:val="0014017A"/>
    <w:pPr>
      <w:numPr>
        <w:numId w:val="6"/>
      </w:numPr>
    </w:pPr>
  </w:style>
  <w:style w:type="paragraph" w:styleId="BodyText2">
    <w:name w:val="Body Text 2"/>
    <w:basedOn w:val="BodyText"/>
    <w:link w:val="BodyText2Char"/>
    <w:qFormat/>
    <w:rsid w:val="0014017A"/>
    <w:pPr>
      <w:numPr>
        <w:numId w:val="6"/>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qFormat/>
    <w:rsid w:val="00CB207C"/>
    <w:rPr>
      <w:color w:val="41B6E6"/>
    </w:rPr>
  </w:style>
  <w:style w:type="paragraph" w:customStyle="1" w:styleId="IntroText">
    <w:name w:val="Intro Text"/>
    <w:basedOn w:val="BodyText"/>
    <w:next w:val="BodyText"/>
    <w:qForma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Century Gothic" w:hAnsi="Century Gothic"/>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Century Gothic" w:hAnsi="Century Gothic"/>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Century Gothic" w:hAnsi="Century Gothic"/>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Century Gothic" w:hAnsi="Century Gothic"/>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Century Gothic" w:hAnsi="Century Gothic"/>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Century Gothic" w:hAnsi="Century Gothic"/>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character" w:styleId="CommentReference">
    <w:name w:val="annotation reference"/>
    <w:basedOn w:val="DefaultParagraphFont"/>
    <w:uiPriority w:val="99"/>
    <w:semiHidden/>
    <w:unhideWhenUsed/>
    <w:rsid w:val="00B0463F"/>
    <w:rPr>
      <w:sz w:val="16"/>
      <w:szCs w:val="16"/>
    </w:rPr>
  </w:style>
  <w:style w:type="paragraph" w:styleId="CommentText">
    <w:name w:val="annotation text"/>
    <w:basedOn w:val="Normal"/>
    <w:link w:val="CommentTextChar"/>
    <w:uiPriority w:val="99"/>
    <w:unhideWhenUsed/>
    <w:rsid w:val="00B0463F"/>
    <w:rPr>
      <w:sz w:val="20"/>
      <w:szCs w:val="20"/>
    </w:rPr>
  </w:style>
  <w:style w:type="character" w:customStyle="1" w:styleId="CommentTextChar">
    <w:name w:val="Comment Text Char"/>
    <w:basedOn w:val="DefaultParagraphFont"/>
    <w:link w:val="CommentText"/>
    <w:uiPriority w:val="99"/>
    <w:rsid w:val="00B0463F"/>
    <w:rPr>
      <w:sz w:val="20"/>
      <w:szCs w:val="20"/>
    </w:rPr>
  </w:style>
  <w:style w:type="paragraph" w:styleId="CommentSubject">
    <w:name w:val="annotation subject"/>
    <w:basedOn w:val="CommentText"/>
    <w:next w:val="CommentText"/>
    <w:link w:val="CommentSubjectChar"/>
    <w:uiPriority w:val="99"/>
    <w:semiHidden/>
    <w:unhideWhenUsed/>
    <w:rsid w:val="00B0463F"/>
    <w:rPr>
      <w:b/>
      <w:bCs/>
    </w:rPr>
  </w:style>
  <w:style w:type="character" w:customStyle="1" w:styleId="CommentSubjectChar">
    <w:name w:val="Comment Subject Char"/>
    <w:basedOn w:val="CommentTextChar"/>
    <w:link w:val="CommentSubject"/>
    <w:uiPriority w:val="99"/>
    <w:semiHidden/>
    <w:rsid w:val="00B0463F"/>
    <w:rPr>
      <w:b/>
      <w:bCs/>
      <w:sz w:val="20"/>
      <w:szCs w:val="20"/>
    </w:rPr>
  </w:style>
  <w:style w:type="character" w:styleId="UnresolvedMention">
    <w:name w:val="Unresolved Mention"/>
    <w:basedOn w:val="DefaultParagraphFont"/>
    <w:uiPriority w:val="99"/>
    <w:unhideWhenUsed/>
    <w:rsid w:val="003E1DF4"/>
    <w:rPr>
      <w:color w:val="605E5C"/>
      <w:shd w:val="clear" w:color="auto" w:fill="E1DFDD"/>
    </w:rPr>
  </w:style>
  <w:style w:type="character" w:styleId="FollowedHyperlink">
    <w:name w:val="FollowedHyperlink"/>
    <w:basedOn w:val="DefaultParagraphFont"/>
    <w:uiPriority w:val="99"/>
    <w:semiHidden/>
    <w:unhideWhenUsed/>
    <w:rsid w:val="008E4F4B"/>
    <w:rPr>
      <w:color w:val="954F72" w:themeColor="followedHyperlink"/>
      <w:u w:val="single"/>
    </w:rPr>
  </w:style>
  <w:style w:type="character" w:styleId="Strong">
    <w:name w:val="Strong"/>
    <w:basedOn w:val="DefaultParagraphFont"/>
    <w:uiPriority w:val="22"/>
    <w:qFormat/>
    <w:rsid w:val="00D50E44"/>
    <w:rPr>
      <w:b/>
      <w:bCs/>
    </w:rPr>
  </w:style>
  <w:style w:type="character" w:customStyle="1" w:styleId="ListParagraphChar">
    <w:name w:val="List Paragraph Char"/>
    <w:aliases w:val="lev2 list Char,aHeading 2 - Sussex Char,F5 List Paragraph Char,Dot pt Char,No Spacing1 Char,List Paragraph Char Char Char Char,Indicator Text Char,Colorful List - Accent 11 Char,Numbered Para 1 Char,Bullet 1 Char,Bullet Points Char"/>
    <w:basedOn w:val="DefaultParagraphFont"/>
    <w:link w:val="ListParagraph"/>
    <w:uiPriority w:val="34"/>
    <w:locked/>
    <w:rsid w:val="00EB12B7"/>
  </w:style>
  <w:style w:type="paragraph" w:styleId="Revision">
    <w:name w:val="Revision"/>
    <w:hidden/>
    <w:uiPriority w:val="99"/>
    <w:semiHidden/>
    <w:rsid w:val="00AC0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29544">
      <w:bodyDiv w:val="1"/>
      <w:marLeft w:val="0"/>
      <w:marRight w:val="0"/>
      <w:marTop w:val="0"/>
      <w:marBottom w:val="0"/>
      <w:divBdr>
        <w:top w:val="none" w:sz="0" w:space="0" w:color="auto"/>
        <w:left w:val="none" w:sz="0" w:space="0" w:color="auto"/>
        <w:bottom w:val="none" w:sz="0" w:space="0" w:color="auto"/>
        <w:right w:val="none" w:sz="0" w:space="0" w:color="auto"/>
      </w:divBdr>
    </w:div>
    <w:div w:id="431319669">
      <w:bodyDiv w:val="1"/>
      <w:marLeft w:val="0"/>
      <w:marRight w:val="0"/>
      <w:marTop w:val="0"/>
      <w:marBottom w:val="0"/>
      <w:divBdr>
        <w:top w:val="none" w:sz="0" w:space="0" w:color="auto"/>
        <w:left w:val="none" w:sz="0" w:space="0" w:color="auto"/>
        <w:bottom w:val="none" w:sz="0" w:space="0" w:color="auto"/>
        <w:right w:val="none" w:sz="0" w:space="0" w:color="auto"/>
      </w:divBdr>
    </w:div>
    <w:div w:id="972641754">
      <w:bodyDiv w:val="1"/>
      <w:marLeft w:val="0"/>
      <w:marRight w:val="0"/>
      <w:marTop w:val="0"/>
      <w:marBottom w:val="0"/>
      <w:divBdr>
        <w:top w:val="none" w:sz="0" w:space="0" w:color="auto"/>
        <w:left w:val="none" w:sz="0" w:space="0" w:color="auto"/>
        <w:bottom w:val="none" w:sz="0" w:space="0" w:color="auto"/>
        <w:right w:val="none" w:sz="0" w:space="0" w:color="auto"/>
      </w:divBdr>
    </w:div>
    <w:div w:id="1316642300">
      <w:bodyDiv w:val="1"/>
      <w:marLeft w:val="0"/>
      <w:marRight w:val="0"/>
      <w:marTop w:val="0"/>
      <w:marBottom w:val="0"/>
      <w:divBdr>
        <w:top w:val="none" w:sz="0" w:space="0" w:color="auto"/>
        <w:left w:val="none" w:sz="0" w:space="0" w:color="auto"/>
        <w:bottom w:val="none" w:sz="0" w:space="0" w:color="auto"/>
        <w:right w:val="none" w:sz="0" w:space="0" w:color="auto"/>
      </w:divBdr>
    </w:div>
    <w:div w:id="203996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file:///\\nhis.local\pct\N&amp;N%20CCG\Quality\Nursing%20and%20Safeguarding\Standards\Restricted\EQIA\EQIA\2.%20EQIAs%202024%202025\For%20Consutlation%20Panel\1.%20January\25.01.2024\reactto.co.uk" TargetMode="External"/><Relationship Id="rId26" Type="http://schemas.openxmlformats.org/officeDocument/2006/relationships/hyperlink" Target="https://gbr01.safelinks.protection.outlook.com/?url=https%3A%2F%2Fwww.england.nhs.uk%2Fwp-content%2Fuploads%2F2021%2F06%2FB0661-ics-working-with-people-and-communities.pdf&amp;data=05%7C02%7Cgemma.waring%40nhs.net%7Cb01dd149d52b4d9b1f7c08dc5a1566e3%7C37c354b285b047f5b22207b48d774ee3%7C0%7C0%7C638484295190278633%7CUnknown%7CTWFpbGZsb3d8eyJWIjoiMC4wLjAwMDAiLCJQIjoiV2luMzIiLCJBTiI6Ik1haWwiLCJXVCI6Mn0%3D%7C0%7C%7C%7C&amp;sdata=V%2FsKc6Pprdijva4c7%2BHarCcJ0C2wxkdoKAKpXNcHXuE%3D&amp;reserved=0" TargetMode="External"/><Relationship Id="rId3" Type="http://schemas.openxmlformats.org/officeDocument/2006/relationships/customXml" Target="../customXml/item3.xml"/><Relationship Id="rId21" Type="http://schemas.openxmlformats.org/officeDocument/2006/relationships/hyperlink" Target="https://notts.icb.nhs.uk/about-us/safeguarding/equality-inclusion-and-human-right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england.eandhi@nhs.net" TargetMode="External"/><Relationship Id="rId25" Type="http://schemas.openxmlformats.org/officeDocument/2006/relationships/hyperlink" Target="https://gbr01.safelinks.protection.outlook.com/?url=https%3A%2F%2Fnotts.icb.nhs.uk%2Fwp-content%2Fuploads%2Fsites%2F2%2F2022%2F04%2FENG-001-Public-Involvement-and-Engagement-Policy-v1.2.pdf&amp;data=05%7C02%7Cgemma.waring%40nhs.net%7Cb01dd149d52b4d9b1f7c08dc5a1566e3%7C37c354b285b047f5b22207b48d774ee3%7C0%7C0%7C638484295190271326%7CUnknown%7CTWFpbGZsb3d8eyJWIjoiMC4wLjAwMDAiLCJQIjoiV2luMzIiLCJBTiI6Ik1haWwiLCJXVCI6Mn0%3D%7C0%7C%7C%7C&amp;sdata=Gk1ZEDvOxdaMAEdbWoWHHvD88emIiB2NQFoo83ztCK4%3D&amp;reserved=0" TargetMode="External"/><Relationship Id="rId2" Type="http://schemas.openxmlformats.org/officeDocument/2006/relationships/customXml" Target="../customXml/item2.xml"/><Relationship Id="rId16" Type="http://schemas.openxmlformats.org/officeDocument/2006/relationships/hyperlink" Target="http://www.england.nhs.uk/about/equality/equality-hub/patient-equalities-programme/equality-frameworks-and-information-standards/eds/" TargetMode="External"/><Relationship Id="rId20" Type="http://schemas.openxmlformats.org/officeDocument/2006/relationships/hyperlink" Target="https://www.nhsconfed.org/system/files/2021-11/Board%20Assurance%20Tool%20-%20%20Leadership%20Framework%20for%20Health%20Inequalities%20Improvement.pdf" TargetMode="External"/><Relationship Id="rId29" Type="http://schemas.openxmlformats.org/officeDocument/2006/relationships/hyperlink" Target="https://notts.icb.nhs.uk/wp-content/uploads/sites/2/2022/04/Nottingham-and-Nottinghamshire-ICB-Coproduction-Strategy-2022-to-202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notts.icb.nhs.uk/wp-content/uploads/sites/2/2022/04/ENG-001-Public-Involvement-and-Engagement-Policy-v1.2.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hyperlink" Target="https://gbr01.safelinks.protection.outlook.com/?url=https%3A%2F%2Fnotts.icb.nhs.uk%2Fwp-content%2Fuploads%2Fsites%2F2%2F2022%2F04%2FNottingham-and-Nottinghamshire-ICB-Coproduction-Strategy-2022-to-2024.pdf&amp;data=05%7C02%7Cgemma.waring%40nhs.net%7Cb01dd149d52b4d9b1f7c08dc5a1566e3%7C37c354b285b047f5b22207b48d774ee3%7C0%7C0%7C638484295190294735%7CUnknown%7CTWFpbGZsb3d8eyJWIjoiMC4wLjAwMDAiLCJQIjoiV2luMzIiLCJBTiI6Ik1haWwiLCJXVCI6Mn0%3D%7C0%7C%7C%7C&amp;sdata=8%2BSkWtSqurdLU633WxdYB9zAOI0tj1V0Gl5LoqPKvJo%3D&amp;reserved=0" TargetMode="External"/><Relationship Id="rId10" Type="http://schemas.openxmlformats.org/officeDocument/2006/relationships/endnotes" Target="endnotes.xml"/><Relationship Id="rId19" Type="http://schemas.openxmlformats.org/officeDocument/2006/relationships/hyperlink" Target="file:///\\nhis.local\pct\N&amp;N%20CCG\Quality\Nursing%20and%20Safeguarding\Standards\Restricted\EQIA\EQIA\2.%20EQIAs%202024%202025\For%20Consutlation%20Panel\1.%20January\25.01.2024\reactto.co.uk"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hyperlink" Target="https://gbr01.safelinks.protection.outlook.com/?url=https%3A%2F%2Fhealthandcarenotts.co.uk%2Fwp-content%2Fuploads%2F2021%2F05%2FWorking-with-people-and-communities-strategy.pdf&amp;data=05%7C02%7Cgemma.waring%40nhs.net%7Cb01dd149d52b4d9b1f7c08dc5a1566e3%7C37c354b285b047f5b22207b48d774ee3%7C0%7C0%7C638484295190285272%7CUnknown%7CTWFpbGZsb3d8eyJWIjoiMC4wLjAwMDAiLCJQIjoiV2luMzIiLCJBTiI6Ik1haWwiLCJXVCI6Mn0%3D%7C0%7C%7C%7C&amp;sdata=XHXEsvW6NrLZKQPOgifTUBci68irs2yYcE9SfnZc%2BDI%3D&amp;reserved=0"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EBBD3197144BD8A9B2BFE9BCED6D61"/>
        <w:category>
          <w:name w:val="General"/>
          <w:gallery w:val="placeholder"/>
        </w:category>
        <w:types>
          <w:type w:val="bbPlcHdr"/>
        </w:types>
        <w:behaviors>
          <w:behavior w:val="content"/>
        </w:behaviors>
        <w:guid w:val="{6D2F022B-4EDB-4F5D-AB61-A75EB76335CD}"/>
      </w:docPartPr>
      <w:docPartBody>
        <w:p w:rsidR="00DE0F4B" w:rsidRDefault="006E268E" w:rsidP="006E268E">
          <w:pPr>
            <w:pStyle w:val="0FEBBD3197144BD8A9B2BFE9BCED6D61"/>
          </w:pPr>
          <w:r>
            <w:rPr>
              <w:rStyle w:val="PlaceholderText"/>
            </w:rPr>
            <w:t>Select protective marking</w:t>
          </w:r>
        </w:p>
      </w:docPartBody>
    </w:docPart>
    <w:docPart>
      <w:docPartPr>
        <w:name w:val="D9462B11D0614DB28C23223F5CD21B3E"/>
        <w:category>
          <w:name w:val="General"/>
          <w:gallery w:val="placeholder"/>
        </w:category>
        <w:types>
          <w:type w:val="bbPlcHdr"/>
        </w:types>
        <w:behaviors>
          <w:behavior w:val="content"/>
        </w:behaviors>
        <w:guid w:val="{918025FB-7409-4076-9BE1-E676FCA735CB}"/>
      </w:docPartPr>
      <w:docPartBody>
        <w:p w:rsidR="00977804" w:rsidRDefault="00C432A5">
          <w:pPr>
            <w:pStyle w:val="D9462B11D0614DB28C23223F5CD21B3E"/>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enorite">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8E"/>
    <w:rsid w:val="0004492D"/>
    <w:rsid w:val="00053AB0"/>
    <w:rsid w:val="000F1F24"/>
    <w:rsid w:val="00202340"/>
    <w:rsid w:val="00336014"/>
    <w:rsid w:val="0034230B"/>
    <w:rsid w:val="00393AF8"/>
    <w:rsid w:val="004F2D6B"/>
    <w:rsid w:val="00512828"/>
    <w:rsid w:val="00512DF2"/>
    <w:rsid w:val="005D1786"/>
    <w:rsid w:val="006B5182"/>
    <w:rsid w:val="006E268E"/>
    <w:rsid w:val="006F595B"/>
    <w:rsid w:val="00833CEA"/>
    <w:rsid w:val="008771F2"/>
    <w:rsid w:val="008779AE"/>
    <w:rsid w:val="00977804"/>
    <w:rsid w:val="009A4962"/>
    <w:rsid w:val="009C58B3"/>
    <w:rsid w:val="00B21E5B"/>
    <w:rsid w:val="00C432A5"/>
    <w:rsid w:val="00C924C3"/>
    <w:rsid w:val="00CC0EB8"/>
    <w:rsid w:val="00D06A82"/>
    <w:rsid w:val="00D23E72"/>
    <w:rsid w:val="00DB0AA1"/>
    <w:rsid w:val="00DE0F4B"/>
    <w:rsid w:val="00E54A27"/>
    <w:rsid w:val="00E84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7C81C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8E"/>
    <w:rPr>
      <w:rFonts w:cs="Times New Roman"/>
      <w:sz w:val="3276"/>
      <w:szCs w:val="3276"/>
    </w:rPr>
  </w:style>
  <w:style w:type="paragraph" w:styleId="Heading2">
    <w:name w:val="heading 2"/>
    <w:basedOn w:val="Normal"/>
    <w:next w:val="BodyText"/>
    <w:link w:val="Heading2Char"/>
    <w:uiPriority w:val="9"/>
    <w:qFormat/>
    <w:rsid w:val="006E268E"/>
    <w:pPr>
      <w:keepNext/>
      <w:keepLines/>
      <w:spacing w:before="60" w:after="280" w:line="240" w:lineRule="auto"/>
      <w:outlineLvl w:val="1"/>
    </w:pPr>
    <w:rPr>
      <w:rFonts w:ascii="Arial" w:eastAsiaTheme="majorEastAsia" w:hAnsi="Arial" w:cstheme="majorBidi"/>
      <w:color w:val="005EB8"/>
      <w:sz w:val="3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68E"/>
    <w:rPr>
      <w:rFonts w:ascii="Arial" w:eastAsiaTheme="majorEastAsia" w:hAnsi="Arial" w:cstheme="majorBidi"/>
      <w:color w:val="005EB8"/>
      <w:sz w:val="36"/>
      <w:szCs w:val="26"/>
      <w:lang w:eastAsia="en-US"/>
    </w:rPr>
  </w:style>
  <w:style w:type="paragraph" w:styleId="BodyText">
    <w:name w:val="Body Text"/>
    <w:basedOn w:val="Normal"/>
    <w:link w:val="BodyTextChar"/>
    <w:qFormat/>
    <w:rsid w:val="006E268E"/>
    <w:pPr>
      <w:spacing w:after="280" w:line="360" w:lineRule="atLeast"/>
    </w:pPr>
    <w:rPr>
      <w:rFonts w:ascii="Arial" w:eastAsiaTheme="minorHAnsi" w:hAnsi="Arial" w:cstheme="minorBidi"/>
      <w:color w:val="231F20"/>
      <w:sz w:val="24"/>
      <w:szCs w:val="24"/>
      <w:lang w:eastAsia="en-US"/>
    </w:rPr>
  </w:style>
  <w:style w:type="character" w:customStyle="1" w:styleId="BodyTextChar">
    <w:name w:val="Body Text Char"/>
    <w:basedOn w:val="DefaultParagraphFont"/>
    <w:link w:val="BodyText"/>
    <w:rsid w:val="006E268E"/>
    <w:rPr>
      <w:rFonts w:ascii="Arial" w:eastAsiaTheme="minorHAnsi" w:hAnsi="Arial"/>
      <w:color w:val="231F20"/>
      <w:sz w:val="24"/>
      <w:szCs w:val="24"/>
      <w:lang w:eastAsia="en-US"/>
    </w:rPr>
  </w:style>
  <w:style w:type="table" w:customStyle="1" w:styleId="NHSHighlightBoxBlue">
    <w:name w:val="NHS Highlight Box Blue"/>
    <w:basedOn w:val="TableNormal"/>
    <w:uiPriority w:val="99"/>
    <w:rsid w:val="006E268E"/>
    <w:pPr>
      <w:spacing w:after="0" w:line="240" w:lineRule="auto"/>
    </w:pPr>
    <w:rPr>
      <w:rFonts w:ascii="Arial" w:eastAsiaTheme="minorHAnsi" w:hAnsi="Arial"/>
      <w:color w:val="231F20"/>
      <w:sz w:val="24"/>
      <w:szCs w:val="24"/>
      <w:lang w:eastAsia="en-US"/>
    </w:rPr>
    <w:tblPr>
      <w:tblCellMar>
        <w:top w:w="284" w:type="dxa"/>
        <w:left w:w="284" w:type="dxa"/>
        <w:bottom w:w="284" w:type="dxa"/>
        <w:right w:w="284" w:type="dxa"/>
      </w:tblCellMar>
    </w:tblPr>
    <w:tcPr>
      <w:shd w:val="clear" w:color="auto" w:fill="CCDFF1"/>
    </w:tcPr>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0FEBBD3197144BD8A9B2BFE9BCED6D61">
    <w:name w:val="0FEBBD3197144BD8A9B2BFE9BCED6D61"/>
    <w:rsid w:val="006E268E"/>
    <w:pPr>
      <w:spacing w:after="0" w:line="240" w:lineRule="auto"/>
    </w:pPr>
    <w:rPr>
      <w:rFonts w:ascii="Arial" w:eastAsiaTheme="minorHAnsi" w:hAnsi="Arial"/>
      <w:color w:val="231F20"/>
      <w:sz w:val="24"/>
      <w:szCs w:val="24"/>
      <w:lang w:eastAsia="en-US"/>
    </w:rPr>
  </w:style>
  <w:style w:type="paragraph" w:customStyle="1" w:styleId="D9462B11D0614DB28C23223F5CD21B3E">
    <w:name w:val="D9462B11D0614DB28C23223F5CD21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4826A399B6B3489943828E82EBC8AD" ma:contentTypeVersion="6" ma:contentTypeDescription="Create a new document." ma:contentTypeScope="" ma:versionID="796363f8c324b445c3ab2e797813fefd">
  <xsd:schema xmlns:xsd="http://www.w3.org/2001/XMLSchema" xmlns:xs="http://www.w3.org/2001/XMLSchema" xmlns:p="http://schemas.microsoft.com/office/2006/metadata/properties" xmlns:ns2="54b0f19b-46b8-4f13-8b75-d69c68c56490" xmlns:ns3="91addb01-0b27-4481-adb9-7be2ff53b6a2" targetNamespace="http://schemas.microsoft.com/office/2006/metadata/properties" ma:root="true" ma:fieldsID="0fce7443ce9467962c4d80878a224358" ns2:_="" ns3:_="">
    <xsd:import namespace="54b0f19b-46b8-4f13-8b75-d69c68c56490"/>
    <xsd:import namespace="91addb01-0b27-4481-adb9-7be2ff53b6a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0f19b-46b8-4f13-8b75-d69c68c564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addb01-0b27-4481-adb9-7be2ff53b6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3909F-9C55-4F30-B319-6D0C25F680AD}">
  <ds:schemaRefs>
    <ds:schemaRef ds:uri="http://schemas.microsoft.com/sharepoint/v3/contenttype/forms"/>
  </ds:schemaRefs>
</ds:datastoreItem>
</file>

<file path=customXml/itemProps2.xml><?xml version="1.0" encoding="utf-8"?>
<ds:datastoreItem xmlns:ds="http://schemas.openxmlformats.org/officeDocument/2006/customXml" ds:itemID="{E315B741-F2FB-4B0F-9337-6E7CDE0B6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0f19b-46b8-4f13-8b75-d69c68c56490"/>
    <ds:schemaRef ds:uri="91addb01-0b27-4481-adb9-7be2ff53b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EE0724-4439-4C76-A3EA-2E27EBE696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32</TotalTime>
  <Pages>43</Pages>
  <Words>8164</Words>
  <Characters>49017</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57067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Paul Maytum</dc:creator>
  <cp:keywords/>
  <dc:description/>
  <cp:lastModifiedBy>CUTHBERT, Julie (NHS NOTTINGHAM AND NOTTINGHAMSHIRE ICB - 52R)</cp:lastModifiedBy>
  <cp:revision>5</cp:revision>
  <dcterms:created xsi:type="dcterms:W3CDTF">2024-05-16T15:03:00Z</dcterms:created>
  <dcterms:modified xsi:type="dcterms:W3CDTF">2024-05-17T09:31:00Z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0x0101007B4826A399B6B3489943828E82EBC8AD</vt:lpwstr>
  </property>
  <property fmtid="{D5CDD505-2E9C-101B-9397-08002B2CF9AE}" pid="3" name="MediaServiceImageTags">
    <vt:lpwstr/>
  </property>
  <property fmtid="{D5CDD505-2E9C-101B-9397-08002B2CF9AE}" pid="4" name="GrammarlyDocumentId">
    <vt:lpwstr>1a14b41575616d55a256bdd7d27a0368c2436dd8fe06c18ee929015ca872464a</vt:lpwstr>
  </property>
</Properties>
</file>