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BABD" w14:textId="502C66DD" w:rsidR="00CD6BD8" w:rsidRPr="0075433B" w:rsidRDefault="007E4B96" w:rsidP="0023663D">
      <w:pPr>
        <w:rPr>
          <w:b/>
          <w:sz w:val="32"/>
          <w:szCs w:val="32"/>
        </w:rPr>
      </w:pPr>
      <w:r w:rsidRPr="0075433B">
        <w:rPr>
          <w:b/>
        </w:rPr>
        <w:t xml:space="preserve"> </w:t>
      </w:r>
      <w:r w:rsidR="004410B2">
        <w:rPr>
          <w:b/>
          <w:sz w:val="32"/>
          <w:szCs w:val="32"/>
        </w:rPr>
        <w:t>Childrens Integrated Commissioning Hub</w:t>
      </w:r>
    </w:p>
    <w:tbl>
      <w:tblPr>
        <w:tblStyle w:val="TableGrid"/>
        <w:tblW w:w="0" w:type="auto"/>
        <w:tblLayout w:type="fixed"/>
        <w:tblLook w:val="04A0" w:firstRow="1" w:lastRow="0" w:firstColumn="1" w:lastColumn="0" w:noHBand="0" w:noVBand="1"/>
      </w:tblPr>
      <w:tblGrid>
        <w:gridCol w:w="1838"/>
        <w:gridCol w:w="7178"/>
      </w:tblGrid>
      <w:tr w:rsidR="007E4B96" w14:paraId="76DDEB7A" w14:textId="77777777" w:rsidTr="00C62286">
        <w:trPr>
          <w:trHeight w:val="1235"/>
        </w:trPr>
        <w:tc>
          <w:tcPr>
            <w:tcW w:w="1838" w:type="dxa"/>
          </w:tcPr>
          <w:p w14:paraId="2CF24346" w14:textId="77777777" w:rsidR="007E4B96" w:rsidRPr="00DA3EDA" w:rsidRDefault="00B0208A" w:rsidP="00C62286">
            <w:pPr>
              <w:spacing w:before="120"/>
              <w:rPr>
                <w:rFonts w:ascii="Arial" w:hAnsi="Arial" w:cs="Arial"/>
                <w:b/>
              </w:rPr>
            </w:pPr>
            <w:r w:rsidRPr="00DA3EDA">
              <w:rPr>
                <w:rFonts w:ascii="Arial" w:hAnsi="Arial" w:cs="Arial"/>
                <w:b/>
              </w:rPr>
              <w:t>Purpose</w:t>
            </w:r>
          </w:p>
          <w:p w14:paraId="650B8DF9" w14:textId="77777777" w:rsidR="00B0208A" w:rsidRPr="00DA3EDA" w:rsidRDefault="00B0208A" w:rsidP="00C62286">
            <w:pPr>
              <w:spacing w:before="120"/>
              <w:rPr>
                <w:rFonts w:ascii="Arial" w:hAnsi="Arial" w:cs="Arial"/>
                <w:b/>
              </w:rPr>
            </w:pPr>
          </w:p>
        </w:tc>
        <w:tc>
          <w:tcPr>
            <w:tcW w:w="7178" w:type="dxa"/>
          </w:tcPr>
          <w:p w14:paraId="737D932D" w14:textId="5345C92D" w:rsidR="00EC0C6E" w:rsidRPr="00BA064D" w:rsidRDefault="00EC0C6E" w:rsidP="00C62286">
            <w:pPr>
              <w:spacing w:before="120" w:line="360" w:lineRule="auto"/>
              <w:jc w:val="both"/>
              <w:rPr>
                <w:rFonts w:ascii="Arial" w:hAnsi="Arial" w:cs="Arial"/>
              </w:rPr>
            </w:pPr>
            <w:r w:rsidRPr="00BA064D">
              <w:rPr>
                <w:rFonts w:ascii="Arial" w:hAnsi="Arial" w:cs="Arial"/>
              </w:rPr>
              <w:t>The Health and Care Act 2022, lays the foundation to improve health outcomes joining up NHS, social care and public health services at a local level and tackling growing health inequalities. Key elements include a focus on collaborative approaches and build</w:t>
            </w:r>
            <w:r w:rsidR="00F9582A">
              <w:rPr>
                <w:rFonts w:ascii="Arial" w:hAnsi="Arial" w:cs="Arial"/>
              </w:rPr>
              <w:t>ing</w:t>
            </w:r>
            <w:r w:rsidRPr="00BA064D">
              <w:rPr>
                <w:rFonts w:ascii="Arial" w:hAnsi="Arial" w:cs="Arial"/>
              </w:rPr>
              <w:t xml:space="preserve"> on the NHS Long Term Plan (2019).  Strategic, </w:t>
            </w:r>
            <w:proofErr w:type="gramStart"/>
            <w:r w:rsidRPr="00BA064D">
              <w:rPr>
                <w:rFonts w:ascii="Arial" w:hAnsi="Arial" w:cs="Arial"/>
              </w:rPr>
              <w:t>collaborative</w:t>
            </w:r>
            <w:proofErr w:type="gramEnd"/>
            <w:r w:rsidRPr="00BA064D">
              <w:rPr>
                <w:rFonts w:ascii="Arial" w:hAnsi="Arial" w:cs="Arial"/>
              </w:rPr>
              <w:t xml:space="preserve"> and integrated approaches to commissioning of services are part of th</w:t>
            </w:r>
            <w:r w:rsidR="00F9582A">
              <w:rPr>
                <w:rFonts w:ascii="Arial" w:hAnsi="Arial" w:cs="Arial"/>
              </w:rPr>
              <w:t>ese</w:t>
            </w:r>
            <w:r w:rsidRPr="00BA064D">
              <w:rPr>
                <w:rFonts w:ascii="Arial" w:hAnsi="Arial" w:cs="Arial"/>
              </w:rPr>
              <w:t xml:space="preserve"> new </w:t>
            </w:r>
            <w:r w:rsidR="00315ECA" w:rsidRPr="00BA064D">
              <w:rPr>
                <w:rFonts w:ascii="Arial" w:hAnsi="Arial" w:cs="Arial"/>
              </w:rPr>
              <w:t>approach</w:t>
            </w:r>
            <w:r w:rsidR="00315ECA">
              <w:rPr>
                <w:rFonts w:ascii="Arial" w:hAnsi="Arial" w:cs="Arial"/>
              </w:rPr>
              <w:t>es</w:t>
            </w:r>
            <w:r w:rsidRPr="00BA064D">
              <w:rPr>
                <w:rFonts w:ascii="Arial" w:hAnsi="Arial" w:cs="Arial"/>
              </w:rPr>
              <w:t xml:space="preserve">. </w:t>
            </w:r>
          </w:p>
          <w:p w14:paraId="6BB369B1" w14:textId="77777777" w:rsidR="00EC0C6E" w:rsidRPr="00BA064D" w:rsidRDefault="00EC0C6E" w:rsidP="00C62286">
            <w:pPr>
              <w:spacing w:line="360" w:lineRule="auto"/>
              <w:jc w:val="both"/>
              <w:rPr>
                <w:rFonts w:ascii="Arial" w:hAnsi="Arial" w:cs="Arial"/>
              </w:rPr>
            </w:pPr>
          </w:p>
          <w:p w14:paraId="42A76AEF" w14:textId="4CC770D7" w:rsidR="00BA064D" w:rsidRDefault="00EC0C6E" w:rsidP="00C62286">
            <w:pPr>
              <w:spacing w:line="360" w:lineRule="auto"/>
              <w:jc w:val="both"/>
              <w:rPr>
                <w:rFonts w:ascii="Arial" w:hAnsi="Arial" w:cs="Arial"/>
              </w:rPr>
            </w:pPr>
            <w:r w:rsidRPr="00BA064D">
              <w:rPr>
                <w:rFonts w:ascii="Arial" w:hAnsi="Arial" w:cs="Arial"/>
                <w:lang w:eastAsia="en-GB"/>
              </w:rPr>
              <w:t xml:space="preserve">NHS </w:t>
            </w:r>
            <w:r w:rsidRPr="00BA064D">
              <w:rPr>
                <w:rFonts w:ascii="Arial" w:hAnsi="Arial" w:cs="Arial"/>
              </w:rPr>
              <w:t>Nottingham and Nottinghamshire Integrated Care Board (ICB) and Nottinghamshire County Council Public Health (NCCPH) set up a collaborative</w:t>
            </w:r>
            <w:r w:rsidRPr="00BA064D">
              <w:rPr>
                <w:rFonts w:ascii="Arial" w:hAnsi="Arial" w:cs="Arial"/>
                <w:lang w:eastAsia="en-GB"/>
              </w:rPr>
              <w:t xml:space="preserve"> framework </w:t>
            </w:r>
            <w:r w:rsidR="00587D02" w:rsidRPr="00BA064D">
              <w:rPr>
                <w:rFonts w:ascii="Arial" w:hAnsi="Arial" w:cs="Arial"/>
              </w:rPr>
              <w:t>through the Children’s Integrated Commissioning Hub (CICH)</w:t>
            </w:r>
            <w:r w:rsidR="00587D02">
              <w:rPr>
                <w:rFonts w:ascii="Arial" w:hAnsi="Arial" w:cs="Arial"/>
              </w:rPr>
              <w:t xml:space="preserve"> for</w:t>
            </w:r>
            <w:r w:rsidRPr="00BA064D">
              <w:rPr>
                <w:rFonts w:ascii="Arial" w:hAnsi="Arial" w:cs="Arial"/>
                <w:lang w:eastAsia="en-GB"/>
              </w:rPr>
              <w:t xml:space="preserve"> </w:t>
            </w:r>
            <w:r w:rsidRPr="00BA064D">
              <w:rPr>
                <w:rFonts w:ascii="Arial" w:hAnsi="Arial" w:cs="Arial"/>
              </w:rPr>
              <w:t xml:space="preserve">commissioning children and young people’s </w:t>
            </w:r>
            <w:r w:rsidR="009B654E">
              <w:rPr>
                <w:rFonts w:ascii="Arial" w:hAnsi="Arial" w:cs="Arial"/>
              </w:rPr>
              <w:t xml:space="preserve">(CYP) </w:t>
            </w:r>
            <w:r w:rsidRPr="00BA064D">
              <w:rPr>
                <w:rFonts w:ascii="Arial" w:hAnsi="Arial" w:cs="Arial"/>
              </w:rPr>
              <w:t>health and public health services in Nottingham and Nottinghamshire.</w:t>
            </w:r>
            <w:r w:rsidR="00BA064D" w:rsidRPr="00BA064D">
              <w:rPr>
                <w:rFonts w:ascii="Arial" w:hAnsi="Arial" w:cs="Arial"/>
              </w:rPr>
              <w:t xml:space="preserve"> </w:t>
            </w:r>
          </w:p>
          <w:p w14:paraId="3B3CD67D" w14:textId="77777777" w:rsidR="00BA064D" w:rsidRDefault="00BA064D" w:rsidP="00C62286">
            <w:pPr>
              <w:spacing w:line="360" w:lineRule="auto"/>
              <w:jc w:val="both"/>
              <w:rPr>
                <w:rFonts w:ascii="Arial" w:hAnsi="Arial" w:cs="Arial"/>
              </w:rPr>
            </w:pPr>
          </w:p>
          <w:p w14:paraId="6699926A" w14:textId="252A4F44" w:rsidR="0023663D" w:rsidRDefault="00BA064D" w:rsidP="00C62286">
            <w:pPr>
              <w:spacing w:line="360" w:lineRule="auto"/>
              <w:jc w:val="both"/>
              <w:rPr>
                <w:rFonts w:ascii="Arial" w:hAnsi="Arial" w:cs="Arial"/>
                <w:color w:val="333333"/>
              </w:rPr>
            </w:pPr>
            <w:r>
              <w:rPr>
                <w:rFonts w:ascii="Arial" w:hAnsi="Arial" w:cs="Arial"/>
              </w:rPr>
              <w:t xml:space="preserve">The CICH </w:t>
            </w:r>
            <w:r w:rsidRPr="00BA064D">
              <w:rPr>
                <w:rFonts w:ascii="Arial" w:hAnsi="Arial" w:cs="Arial"/>
                <w:shd w:val="clear" w:color="auto" w:fill="FFFFFF"/>
              </w:rPr>
              <w:t>provides co-ordination and a single point of accountability for children and young people's health and wellbeing related commissioning</w:t>
            </w:r>
            <w:r>
              <w:rPr>
                <w:rFonts w:ascii="Arial" w:hAnsi="Arial" w:cs="Arial"/>
                <w:shd w:val="clear" w:color="auto" w:fill="FFFFFF"/>
              </w:rPr>
              <w:t xml:space="preserve"> and to </w:t>
            </w:r>
            <w:r w:rsidRPr="00BA064D">
              <w:rPr>
                <w:rFonts w:ascii="Arial" w:hAnsi="Arial" w:cs="Arial"/>
                <w:shd w:val="clear" w:color="auto" w:fill="FFFFFF"/>
              </w:rPr>
              <w:t xml:space="preserve">align and pool commissioning resources on behalf of </w:t>
            </w:r>
            <w:r>
              <w:rPr>
                <w:rFonts w:ascii="Arial" w:hAnsi="Arial" w:cs="Arial"/>
                <w:shd w:val="clear" w:color="auto" w:fill="FFFFFF"/>
              </w:rPr>
              <w:t xml:space="preserve">the </w:t>
            </w:r>
            <w:r w:rsidR="00F9582A">
              <w:rPr>
                <w:rFonts w:ascii="Arial" w:hAnsi="Arial" w:cs="Arial"/>
                <w:shd w:val="clear" w:color="auto" w:fill="FFFFFF"/>
              </w:rPr>
              <w:t xml:space="preserve">ICB, NCCPH </w:t>
            </w:r>
            <w:r w:rsidRPr="00BA064D">
              <w:rPr>
                <w:rFonts w:ascii="Arial" w:hAnsi="Arial" w:cs="Arial"/>
                <w:shd w:val="clear" w:color="auto" w:fill="FFFFFF"/>
              </w:rPr>
              <w:t>and NHS England.</w:t>
            </w:r>
            <w:bookmarkStart w:id="0" w:name="_Hlk163475723"/>
          </w:p>
          <w:bookmarkEnd w:id="0"/>
          <w:p w14:paraId="2922BC19" w14:textId="77777777" w:rsidR="0023663D" w:rsidRDefault="0023663D" w:rsidP="00C62286">
            <w:pPr>
              <w:shd w:val="clear" w:color="auto" w:fill="FFFFFF"/>
              <w:spacing w:before="120" w:line="360" w:lineRule="auto"/>
              <w:rPr>
                <w:rFonts w:ascii="Arial" w:hAnsi="Arial" w:cs="Arial"/>
                <w:color w:val="333333"/>
              </w:rPr>
            </w:pPr>
            <w:r w:rsidRPr="00587D02">
              <w:rPr>
                <w:rFonts w:ascii="Arial" w:hAnsi="Arial" w:cs="Arial"/>
                <w:color w:val="333333"/>
              </w:rPr>
              <w:t>For more information</w:t>
            </w:r>
            <w:r>
              <w:rPr>
                <w:rFonts w:ascii="Arial" w:hAnsi="Arial" w:cs="Arial"/>
                <w:color w:val="333333"/>
              </w:rPr>
              <w:t xml:space="preserve"> from NCCPH see:</w:t>
            </w:r>
            <w:r w:rsidRPr="00587D02">
              <w:rPr>
                <w:rFonts w:ascii="Arial" w:hAnsi="Arial" w:cs="Arial"/>
                <w:color w:val="333333"/>
              </w:rPr>
              <w:t xml:space="preserve"> </w:t>
            </w:r>
          </w:p>
          <w:p w14:paraId="573066A0" w14:textId="61FFB07E" w:rsidR="00EC0C6E" w:rsidRPr="00BA064D" w:rsidRDefault="00D94CFB" w:rsidP="00C62286">
            <w:pPr>
              <w:shd w:val="clear" w:color="auto" w:fill="FFFFFF"/>
              <w:spacing w:before="120" w:after="120" w:line="360" w:lineRule="auto"/>
              <w:rPr>
                <w:rFonts w:ascii="Arial" w:eastAsia="Times New Roman" w:hAnsi="Arial" w:cs="Arial"/>
                <w:lang w:eastAsia="en-GB"/>
              </w:rPr>
            </w:pPr>
            <w:hyperlink r:id="rId8" w:history="1">
              <w:r w:rsidR="0023663D">
                <w:rPr>
                  <w:rStyle w:val="Hyperlink"/>
                </w:rPr>
                <w:t>Children's Commissioning | Nottinghamshire County Council</w:t>
              </w:r>
            </w:hyperlink>
          </w:p>
        </w:tc>
      </w:tr>
      <w:tr w:rsidR="007E4B96" w14:paraId="10D265B4" w14:textId="77777777" w:rsidTr="00C62286">
        <w:tc>
          <w:tcPr>
            <w:tcW w:w="1838" w:type="dxa"/>
          </w:tcPr>
          <w:p w14:paraId="1915DB00" w14:textId="171BD4AF" w:rsidR="00B0208A" w:rsidRPr="00DA3EDA" w:rsidRDefault="00B0208A" w:rsidP="00C62286">
            <w:pPr>
              <w:spacing w:before="120"/>
              <w:rPr>
                <w:rFonts w:ascii="Arial" w:hAnsi="Arial" w:cs="Arial"/>
                <w:b/>
              </w:rPr>
            </w:pPr>
            <w:r w:rsidRPr="00DA3EDA">
              <w:rPr>
                <w:rFonts w:ascii="Arial" w:hAnsi="Arial" w:cs="Arial"/>
                <w:b/>
              </w:rPr>
              <w:t>Type of Information</w:t>
            </w:r>
          </w:p>
          <w:p w14:paraId="767F470B" w14:textId="77777777" w:rsidR="00B0208A" w:rsidRPr="00DA3EDA" w:rsidRDefault="00B0208A" w:rsidP="00C62286">
            <w:pPr>
              <w:spacing w:before="120"/>
              <w:rPr>
                <w:rFonts w:ascii="Arial" w:hAnsi="Arial" w:cs="Arial"/>
                <w:b/>
              </w:rPr>
            </w:pPr>
          </w:p>
        </w:tc>
        <w:tc>
          <w:tcPr>
            <w:tcW w:w="7178" w:type="dxa"/>
          </w:tcPr>
          <w:p w14:paraId="5E58D439" w14:textId="5D66421A" w:rsidR="00ED6288" w:rsidRPr="00576AFD" w:rsidRDefault="00EC0C6E" w:rsidP="00C62286">
            <w:pPr>
              <w:spacing w:before="120" w:line="360" w:lineRule="auto"/>
              <w:rPr>
                <w:rFonts w:ascii="Arial" w:hAnsi="Arial" w:cs="Arial"/>
              </w:rPr>
            </w:pPr>
            <w:r>
              <w:rPr>
                <w:rFonts w:ascii="Arial" w:hAnsi="Arial" w:cs="Arial"/>
              </w:rPr>
              <w:t>Personal Data (such as name, address, date of birth) and Special Category (health and social care information)</w:t>
            </w:r>
          </w:p>
        </w:tc>
      </w:tr>
      <w:tr w:rsidR="006F77D2" w14:paraId="235E5E78" w14:textId="77777777" w:rsidTr="00C62286">
        <w:trPr>
          <w:trHeight w:val="2117"/>
        </w:trPr>
        <w:tc>
          <w:tcPr>
            <w:tcW w:w="1838" w:type="dxa"/>
          </w:tcPr>
          <w:p w14:paraId="72945971" w14:textId="77777777" w:rsidR="006F77D2" w:rsidRPr="00DA3EDA" w:rsidRDefault="006F77D2" w:rsidP="00C62286">
            <w:pPr>
              <w:spacing w:before="120"/>
              <w:rPr>
                <w:rFonts w:ascii="Arial" w:hAnsi="Arial" w:cs="Arial"/>
                <w:b/>
              </w:rPr>
            </w:pPr>
            <w:r>
              <w:rPr>
                <w:rFonts w:ascii="Arial" w:hAnsi="Arial" w:cs="Arial"/>
                <w:b/>
              </w:rPr>
              <w:t>How we will collect and use the Information</w:t>
            </w:r>
          </w:p>
        </w:tc>
        <w:tc>
          <w:tcPr>
            <w:tcW w:w="7178" w:type="dxa"/>
          </w:tcPr>
          <w:p w14:paraId="30503513" w14:textId="4033CEEA" w:rsidR="00585E57" w:rsidRDefault="000445E1" w:rsidP="00C62286">
            <w:pPr>
              <w:pStyle w:val="NormalWeb"/>
              <w:shd w:val="clear" w:color="auto" w:fill="FFFFFF"/>
              <w:spacing w:before="120" w:beforeAutospacing="0" w:after="120" w:afterAutospacing="0" w:line="360" w:lineRule="auto"/>
              <w:jc w:val="both"/>
              <w:rPr>
                <w:rFonts w:ascii="Arial" w:hAnsi="Arial" w:cs="Arial"/>
                <w:sz w:val="22"/>
                <w:szCs w:val="22"/>
              </w:rPr>
            </w:pPr>
            <w:r w:rsidRPr="000A1101">
              <w:rPr>
                <w:rFonts w:ascii="Arial" w:hAnsi="Arial" w:cs="Arial"/>
                <w:sz w:val="22"/>
                <w:szCs w:val="22"/>
              </w:rPr>
              <w:t xml:space="preserve">The CICH will collect and use data in support of </w:t>
            </w:r>
            <w:r w:rsidR="00587D02">
              <w:rPr>
                <w:rFonts w:ascii="Arial" w:hAnsi="Arial" w:cs="Arial"/>
                <w:sz w:val="22"/>
                <w:szCs w:val="22"/>
              </w:rPr>
              <w:t xml:space="preserve">integrated </w:t>
            </w:r>
            <w:r w:rsidRPr="000A1101">
              <w:rPr>
                <w:rFonts w:ascii="Arial" w:hAnsi="Arial" w:cs="Arial"/>
                <w:sz w:val="22"/>
                <w:szCs w:val="22"/>
              </w:rPr>
              <w:t xml:space="preserve">CYP </w:t>
            </w:r>
            <w:r w:rsidR="00587D02">
              <w:rPr>
                <w:rFonts w:ascii="Arial" w:hAnsi="Arial" w:cs="Arial"/>
                <w:sz w:val="22"/>
                <w:szCs w:val="22"/>
              </w:rPr>
              <w:t>commissioning</w:t>
            </w:r>
            <w:r w:rsidR="0023663D">
              <w:rPr>
                <w:rFonts w:ascii="Arial" w:hAnsi="Arial" w:cs="Arial"/>
                <w:sz w:val="22"/>
                <w:szCs w:val="22"/>
              </w:rPr>
              <w:t xml:space="preserve"> and the ICB will have data controller responsibilities for the personal data that </w:t>
            </w:r>
            <w:r w:rsidR="00360E61">
              <w:rPr>
                <w:rFonts w:ascii="Arial" w:hAnsi="Arial" w:cs="Arial"/>
                <w:sz w:val="22"/>
                <w:szCs w:val="22"/>
              </w:rPr>
              <w:t xml:space="preserve">it </w:t>
            </w:r>
            <w:r w:rsidR="0023663D">
              <w:rPr>
                <w:rFonts w:ascii="Arial" w:hAnsi="Arial" w:cs="Arial"/>
                <w:sz w:val="22"/>
                <w:szCs w:val="22"/>
              </w:rPr>
              <w:t>process</w:t>
            </w:r>
            <w:r w:rsidR="00C94797">
              <w:rPr>
                <w:rFonts w:ascii="Arial" w:hAnsi="Arial" w:cs="Arial"/>
                <w:sz w:val="22"/>
                <w:szCs w:val="22"/>
              </w:rPr>
              <w:t>es</w:t>
            </w:r>
            <w:r w:rsidR="0023663D">
              <w:rPr>
                <w:rFonts w:ascii="Arial" w:hAnsi="Arial" w:cs="Arial"/>
                <w:sz w:val="22"/>
                <w:szCs w:val="22"/>
              </w:rPr>
              <w:t>.</w:t>
            </w:r>
          </w:p>
          <w:p w14:paraId="00F26471" w14:textId="77777777" w:rsidR="00C62286" w:rsidRPr="00F22B1E" w:rsidRDefault="00C62286" w:rsidP="00C62286">
            <w:pPr>
              <w:pStyle w:val="Default"/>
              <w:numPr>
                <w:ilvl w:val="0"/>
                <w:numId w:val="7"/>
              </w:numPr>
              <w:spacing w:after="15" w:line="360" w:lineRule="auto"/>
              <w:rPr>
                <w:rFonts w:ascii="Arial" w:hAnsi="Arial" w:cs="Arial"/>
                <w:sz w:val="22"/>
                <w:szCs w:val="22"/>
              </w:rPr>
            </w:pPr>
            <w:r w:rsidRPr="00F22B1E">
              <w:rPr>
                <w:rFonts w:ascii="Arial" w:hAnsi="Arial" w:cs="Arial"/>
                <w:sz w:val="22"/>
                <w:szCs w:val="22"/>
              </w:rPr>
              <w:t xml:space="preserve">Focus on improving health and wellbeing </w:t>
            </w:r>
            <w:proofErr w:type="gramStart"/>
            <w:r w:rsidRPr="00F22B1E">
              <w:rPr>
                <w:rFonts w:ascii="Arial" w:hAnsi="Arial" w:cs="Arial"/>
                <w:sz w:val="22"/>
                <w:szCs w:val="22"/>
              </w:rPr>
              <w:t>outcomes</w:t>
            </w:r>
            <w:proofErr w:type="gramEnd"/>
            <w:r w:rsidRPr="00F22B1E">
              <w:rPr>
                <w:rFonts w:ascii="Arial" w:hAnsi="Arial" w:cs="Arial"/>
                <w:sz w:val="22"/>
                <w:szCs w:val="22"/>
              </w:rPr>
              <w:t xml:space="preserve"> </w:t>
            </w:r>
          </w:p>
          <w:p w14:paraId="6E03FE9E" w14:textId="77777777" w:rsidR="00C62286" w:rsidRPr="00F22B1E" w:rsidRDefault="00C62286" w:rsidP="00C62286">
            <w:pPr>
              <w:numPr>
                <w:ilvl w:val="0"/>
                <w:numId w:val="7"/>
              </w:numPr>
              <w:spacing w:line="360" w:lineRule="auto"/>
              <w:jc w:val="both"/>
              <w:rPr>
                <w:rFonts w:ascii="Arial" w:hAnsi="Arial" w:cs="Arial"/>
                <w:color w:val="000000"/>
                <w:lang w:eastAsia="en-GB"/>
              </w:rPr>
            </w:pPr>
            <w:r w:rsidRPr="00F22B1E">
              <w:rPr>
                <w:rFonts w:ascii="Arial" w:hAnsi="Arial" w:cs="Arial"/>
                <w:color w:val="000000"/>
                <w:lang w:eastAsia="en-GB"/>
              </w:rPr>
              <w:t xml:space="preserve">Provide a systems approach to planning and </w:t>
            </w:r>
            <w:proofErr w:type="gramStart"/>
            <w:r w:rsidRPr="00F22B1E">
              <w:rPr>
                <w:rFonts w:ascii="Arial" w:hAnsi="Arial" w:cs="Arial"/>
                <w:color w:val="000000"/>
                <w:lang w:eastAsia="en-GB"/>
              </w:rPr>
              <w:t>commissioning</w:t>
            </w:r>
            <w:proofErr w:type="gramEnd"/>
            <w:r w:rsidRPr="00F22B1E">
              <w:rPr>
                <w:rFonts w:ascii="Arial" w:hAnsi="Arial" w:cs="Arial"/>
                <w:color w:val="000000"/>
                <w:lang w:eastAsia="en-GB"/>
              </w:rPr>
              <w:t xml:space="preserve"> </w:t>
            </w:r>
          </w:p>
          <w:p w14:paraId="2A4BDCC0" w14:textId="77777777" w:rsidR="00C62286" w:rsidRPr="00F22B1E" w:rsidRDefault="00C62286" w:rsidP="00C62286">
            <w:pPr>
              <w:numPr>
                <w:ilvl w:val="0"/>
                <w:numId w:val="7"/>
              </w:numPr>
              <w:spacing w:line="360" w:lineRule="auto"/>
              <w:jc w:val="both"/>
              <w:rPr>
                <w:rFonts w:ascii="Arial" w:hAnsi="Arial" w:cs="Arial"/>
                <w:color w:val="000000"/>
                <w:lang w:eastAsia="en-GB"/>
              </w:rPr>
            </w:pPr>
            <w:r w:rsidRPr="00F22B1E">
              <w:rPr>
                <w:rFonts w:ascii="Arial" w:hAnsi="Arial" w:cs="Arial"/>
                <w:color w:val="000000"/>
                <w:lang w:eastAsia="en-GB"/>
              </w:rPr>
              <w:lastRenderedPageBreak/>
              <w:t xml:space="preserve">Align and transform </w:t>
            </w:r>
            <w:proofErr w:type="gramStart"/>
            <w:r w:rsidRPr="00F22B1E">
              <w:rPr>
                <w:rFonts w:ascii="Arial" w:hAnsi="Arial" w:cs="Arial"/>
                <w:color w:val="000000"/>
                <w:lang w:eastAsia="en-GB"/>
              </w:rPr>
              <w:t>services</w:t>
            </w:r>
            <w:proofErr w:type="gramEnd"/>
          </w:p>
          <w:p w14:paraId="3B607F9A" w14:textId="77777777" w:rsidR="00C62286" w:rsidRPr="00F22B1E" w:rsidRDefault="00C62286" w:rsidP="00C62286">
            <w:pPr>
              <w:pStyle w:val="Default"/>
              <w:numPr>
                <w:ilvl w:val="0"/>
                <w:numId w:val="7"/>
              </w:numPr>
              <w:spacing w:after="15" w:line="360" w:lineRule="auto"/>
              <w:rPr>
                <w:rFonts w:ascii="Arial" w:hAnsi="Arial" w:cs="Arial"/>
                <w:sz w:val="22"/>
                <w:szCs w:val="22"/>
              </w:rPr>
            </w:pPr>
            <w:r w:rsidRPr="00F22B1E">
              <w:rPr>
                <w:rFonts w:ascii="Arial" w:hAnsi="Arial" w:cs="Arial"/>
                <w:sz w:val="22"/>
                <w:szCs w:val="22"/>
              </w:rPr>
              <w:t xml:space="preserve">Develop clear processes for engaging and consulting with children, young people and families to inform </w:t>
            </w:r>
            <w:proofErr w:type="gramStart"/>
            <w:r w:rsidRPr="00F22B1E">
              <w:rPr>
                <w:rFonts w:ascii="Arial" w:hAnsi="Arial" w:cs="Arial"/>
                <w:sz w:val="22"/>
                <w:szCs w:val="22"/>
              </w:rPr>
              <w:t>commissioning</w:t>
            </w:r>
            <w:proofErr w:type="gramEnd"/>
            <w:r w:rsidRPr="00F22B1E">
              <w:rPr>
                <w:rFonts w:ascii="Arial" w:hAnsi="Arial" w:cs="Arial"/>
                <w:sz w:val="22"/>
                <w:szCs w:val="22"/>
              </w:rPr>
              <w:t xml:space="preserve"> </w:t>
            </w:r>
          </w:p>
          <w:p w14:paraId="000C0639" w14:textId="77777777" w:rsidR="00C62286" w:rsidRPr="00F22B1E" w:rsidRDefault="00C62286" w:rsidP="00C62286">
            <w:pPr>
              <w:pStyle w:val="Default"/>
              <w:numPr>
                <w:ilvl w:val="0"/>
                <w:numId w:val="7"/>
              </w:numPr>
              <w:spacing w:after="15" w:line="360" w:lineRule="auto"/>
              <w:rPr>
                <w:rFonts w:ascii="Arial" w:hAnsi="Arial" w:cs="Arial"/>
                <w:sz w:val="22"/>
                <w:szCs w:val="22"/>
              </w:rPr>
            </w:pPr>
            <w:r w:rsidRPr="00F22B1E">
              <w:rPr>
                <w:rFonts w:ascii="Arial" w:hAnsi="Arial" w:cs="Arial"/>
                <w:sz w:val="22"/>
                <w:szCs w:val="22"/>
              </w:rPr>
              <w:t xml:space="preserve">Use findings from the Joint Strategic Needs Assessment (JSNA) and a population health management approach to inform </w:t>
            </w:r>
            <w:proofErr w:type="gramStart"/>
            <w:r w:rsidRPr="00F22B1E">
              <w:rPr>
                <w:rFonts w:ascii="Arial" w:hAnsi="Arial" w:cs="Arial"/>
                <w:sz w:val="22"/>
                <w:szCs w:val="22"/>
              </w:rPr>
              <w:t>commissioning</w:t>
            </w:r>
            <w:proofErr w:type="gramEnd"/>
            <w:r w:rsidRPr="00F22B1E">
              <w:rPr>
                <w:rFonts w:ascii="Arial" w:hAnsi="Arial" w:cs="Arial"/>
                <w:sz w:val="22"/>
                <w:szCs w:val="22"/>
              </w:rPr>
              <w:t xml:space="preserve">  </w:t>
            </w:r>
          </w:p>
          <w:p w14:paraId="685772ED" w14:textId="77777777" w:rsidR="00C62286" w:rsidRPr="00F22B1E" w:rsidRDefault="00C62286" w:rsidP="00C62286">
            <w:pPr>
              <w:pStyle w:val="Default"/>
              <w:numPr>
                <w:ilvl w:val="0"/>
                <w:numId w:val="7"/>
              </w:numPr>
              <w:spacing w:after="15" w:line="360" w:lineRule="auto"/>
              <w:rPr>
                <w:rFonts w:ascii="Arial" w:hAnsi="Arial" w:cs="Arial"/>
                <w:sz w:val="22"/>
                <w:szCs w:val="22"/>
              </w:rPr>
            </w:pPr>
            <w:r w:rsidRPr="00F22B1E">
              <w:rPr>
                <w:rFonts w:ascii="Arial" w:hAnsi="Arial" w:cs="Arial"/>
                <w:sz w:val="22"/>
                <w:szCs w:val="22"/>
              </w:rPr>
              <w:t xml:space="preserve">Embed prevention across services and </w:t>
            </w:r>
            <w:proofErr w:type="gramStart"/>
            <w:r w:rsidRPr="00F22B1E">
              <w:rPr>
                <w:rFonts w:ascii="Arial" w:hAnsi="Arial" w:cs="Arial"/>
                <w:sz w:val="22"/>
                <w:szCs w:val="22"/>
              </w:rPr>
              <w:t>pathways</w:t>
            </w:r>
            <w:proofErr w:type="gramEnd"/>
          </w:p>
          <w:p w14:paraId="7DE0CD1B" w14:textId="77777777" w:rsidR="00C62286" w:rsidRPr="00F22B1E" w:rsidRDefault="00C62286" w:rsidP="00C62286">
            <w:pPr>
              <w:pStyle w:val="Default"/>
              <w:numPr>
                <w:ilvl w:val="0"/>
                <w:numId w:val="7"/>
              </w:numPr>
              <w:spacing w:after="15" w:line="360" w:lineRule="auto"/>
              <w:rPr>
                <w:rFonts w:ascii="Arial" w:hAnsi="Arial" w:cs="Arial"/>
                <w:sz w:val="22"/>
                <w:szCs w:val="22"/>
              </w:rPr>
            </w:pPr>
            <w:r w:rsidRPr="00F22B1E">
              <w:rPr>
                <w:rFonts w:ascii="Arial" w:hAnsi="Arial" w:cs="Arial"/>
                <w:sz w:val="22"/>
                <w:szCs w:val="22"/>
              </w:rPr>
              <w:t xml:space="preserve">Reduce silo working and </w:t>
            </w:r>
            <w:proofErr w:type="gramStart"/>
            <w:r w:rsidRPr="00F22B1E">
              <w:rPr>
                <w:rFonts w:ascii="Arial" w:hAnsi="Arial" w:cs="Arial"/>
                <w:sz w:val="22"/>
                <w:szCs w:val="22"/>
              </w:rPr>
              <w:t>duplication</w:t>
            </w:r>
            <w:proofErr w:type="gramEnd"/>
            <w:r w:rsidRPr="00F22B1E">
              <w:rPr>
                <w:rFonts w:ascii="Arial" w:hAnsi="Arial" w:cs="Arial"/>
                <w:sz w:val="22"/>
                <w:szCs w:val="22"/>
              </w:rPr>
              <w:t xml:space="preserve"> </w:t>
            </w:r>
          </w:p>
          <w:p w14:paraId="34297893" w14:textId="77777777" w:rsidR="00C62286" w:rsidRPr="00F22B1E" w:rsidRDefault="00C62286" w:rsidP="00C62286">
            <w:pPr>
              <w:numPr>
                <w:ilvl w:val="0"/>
                <w:numId w:val="7"/>
              </w:numPr>
              <w:spacing w:line="360" w:lineRule="auto"/>
              <w:jc w:val="both"/>
              <w:rPr>
                <w:rFonts w:ascii="Arial" w:hAnsi="Arial" w:cs="Arial"/>
              </w:rPr>
            </w:pPr>
            <w:r w:rsidRPr="00F22B1E">
              <w:rPr>
                <w:rFonts w:ascii="Arial" w:hAnsi="Arial" w:cs="Arial"/>
                <w:color w:val="000000"/>
                <w:lang w:eastAsia="en-GB"/>
              </w:rPr>
              <w:t>Maximise quality of services</w:t>
            </w:r>
          </w:p>
          <w:p w14:paraId="36036B4E" w14:textId="77777777" w:rsidR="00C62286" w:rsidRDefault="00C62286" w:rsidP="00C62286">
            <w:pPr>
              <w:numPr>
                <w:ilvl w:val="0"/>
                <w:numId w:val="7"/>
              </w:numPr>
              <w:spacing w:line="360" w:lineRule="auto"/>
              <w:jc w:val="both"/>
              <w:rPr>
                <w:rFonts w:ascii="Arial" w:hAnsi="Arial" w:cs="Arial"/>
              </w:rPr>
            </w:pPr>
            <w:r w:rsidRPr="00F22B1E">
              <w:rPr>
                <w:rFonts w:ascii="Arial" w:hAnsi="Arial" w:cs="Arial"/>
              </w:rPr>
              <w:t xml:space="preserve">Ensure services provide value for money, are evidence-based and deliver </w:t>
            </w:r>
            <w:proofErr w:type="gramStart"/>
            <w:r w:rsidRPr="00F22B1E">
              <w:rPr>
                <w:rFonts w:ascii="Arial" w:hAnsi="Arial" w:cs="Arial"/>
              </w:rPr>
              <w:t>innovation</w:t>
            </w:r>
            <w:proofErr w:type="gramEnd"/>
          </w:p>
          <w:p w14:paraId="70257407" w14:textId="77777777" w:rsidR="00C62286" w:rsidRDefault="00C62286" w:rsidP="00C62286">
            <w:pPr>
              <w:spacing w:line="360" w:lineRule="auto"/>
              <w:jc w:val="both"/>
              <w:rPr>
                <w:rFonts w:ascii="Arial" w:hAnsi="Arial" w:cs="Arial"/>
              </w:rPr>
            </w:pPr>
          </w:p>
          <w:p w14:paraId="45965B71" w14:textId="3EA26585" w:rsidR="00C62286" w:rsidRDefault="00C62286" w:rsidP="00C62286">
            <w:pPr>
              <w:spacing w:line="360" w:lineRule="auto"/>
              <w:jc w:val="both"/>
              <w:rPr>
                <w:rFonts w:ascii="Arial" w:hAnsi="Arial" w:cs="Arial"/>
              </w:rPr>
            </w:pPr>
            <w:r>
              <w:rPr>
                <w:rFonts w:ascii="Arial" w:hAnsi="Arial" w:cs="Arial"/>
              </w:rPr>
              <w:t>CICH commissioning is made up of different strands:</w:t>
            </w:r>
          </w:p>
          <w:p w14:paraId="1E722674" w14:textId="77777777" w:rsidR="00C62286" w:rsidRPr="00C62286" w:rsidRDefault="00C62286" w:rsidP="00C62286">
            <w:pPr>
              <w:tabs>
                <w:tab w:val="num" w:pos="1352"/>
              </w:tabs>
              <w:spacing w:line="360" w:lineRule="auto"/>
              <w:jc w:val="both"/>
              <w:rPr>
                <w:rFonts w:ascii="Arial" w:hAnsi="Arial" w:cs="Arial"/>
              </w:rPr>
            </w:pPr>
            <w:r w:rsidRPr="00C62286">
              <w:rPr>
                <w:rFonts w:ascii="Arial" w:hAnsi="Arial" w:cs="Arial"/>
                <w:b/>
              </w:rPr>
              <w:t xml:space="preserve">Integrated: </w:t>
            </w:r>
            <w:r w:rsidRPr="00C62286">
              <w:rPr>
                <w:rFonts w:ascii="Arial" w:hAnsi="Arial" w:cs="Arial"/>
              </w:rPr>
              <w:t xml:space="preserve">Working closely with partners as appropriate, the CICH Team is responsible for leading the whole commissioning cycle, including holding the budget for a service. This may be a pooled or aligned budget where NNICB/other commissioners have agreed to discharge their commissioning responsibilities through the CICH. </w:t>
            </w:r>
          </w:p>
          <w:p w14:paraId="1C39F5E7" w14:textId="77777777" w:rsidR="00C62286" w:rsidRPr="00C62286" w:rsidRDefault="00C62286" w:rsidP="00C62286">
            <w:pPr>
              <w:spacing w:line="360" w:lineRule="auto"/>
              <w:ind w:left="632"/>
              <w:rPr>
                <w:rFonts w:ascii="Arial" w:hAnsi="Arial" w:cs="Arial"/>
                <w:b/>
              </w:rPr>
            </w:pPr>
          </w:p>
          <w:p w14:paraId="769B5683" w14:textId="77777777" w:rsidR="00C62286" w:rsidRPr="00C62286" w:rsidRDefault="00C62286" w:rsidP="00C62286">
            <w:pPr>
              <w:tabs>
                <w:tab w:val="num" w:pos="1352"/>
              </w:tabs>
              <w:spacing w:line="360" w:lineRule="auto"/>
              <w:jc w:val="both"/>
              <w:rPr>
                <w:rFonts w:ascii="Arial" w:hAnsi="Arial" w:cs="Arial"/>
              </w:rPr>
            </w:pPr>
            <w:r w:rsidRPr="00C62286">
              <w:rPr>
                <w:rFonts w:ascii="Arial" w:hAnsi="Arial" w:cs="Arial"/>
                <w:b/>
              </w:rPr>
              <w:t xml:space="preserve">Co-ordinated: </w:t>
            </w:r>
            <w:r w:rsidRPr="00C62286">
              <w:rPr>
                <w:rFonts w:ascii="Arial" w:hAnsi="Arial" w:cs="Arial"/>
              </w:rPr>
              <w:t xml:space="preserve">The CICH Team co-ordinates elements of the commissioning cycle. Working with lead commissioners, the CICH team completes needs assessments, agrees </w:t>
            </w:r>
            <w:proofErr w:type="gramStart"/>
            <w:r w:rsidRPr="00C62286">
              <w:rPr>
                <w:rFonts w:ascii="Arial" w:hAnsi="Arial" w:cs="Arial"/>
              </w:rPr>
              <w:t>priorities</w:t>
            </w:r>
            <w:proofErr w:type="gramEnd"/>
            <w:r w:rsidRPr="00C62286">
              <w:rPr>
                <w:rFonts w:ascii="Arial" w:hAnsi="Arial" w:cs="Arial"/>
              </w:rPr>
              <w:t xml:space="preserve"> and supports development of service specifications and performance indicators. Lead commissioners consider the service within their own priorities and commissioning intentions, determining service design, resource allocation, procurement and contracting. </w:t>
            </w:r>
          </w:p>
          <w:p w14:paraId="4052D740" w14:textId="77777777" w:rsidR="00C62286" w:rsidRPr="00C62286" w:rsidRDefault="00C62286" w:rsidP="00C62286">
            <w:pPr>
              <w:spacing w:line="360" w:lineRule="auto"/>
              <w:ind w:left="632"/>
              <w:rPr>
                <w:rFonts w:ascii="Arial" w:hAnsi="Arial" w:cs="Arial"/>
              </w:rPr>
            </w:pPr>
          </w:p>
          <w:p w14:paraId="45188F3C" w14:textId="77777777" w:rsidR="00C62286" w:rsidRPr="00C62286" w:rsidRDefault="00C62286" w:rsidP="00C62286">
            <w:pPr>
              <w:tabs>
                <w:tab w:val="num" w:pos="1352"/>
              </w:tabs>
              <w:spacing w:line="360" w:lineRule="auto"/>
              <w:jc w:val="both"/>
              <w:rPr>
                <w:rFonts w:ascii="Arial" w:hAnsi="Arial" w:cs="Arial"/>
              </w:rPr>
            </w:pPr>
            <w:r w:rsidRPr="00C62286">
              <w:rPr>
                <w:rFonts w:ascii="Arial" w:hAnsi="Arial" w:cs="Arial"/>
                <w:b/>
              </w:rPr>
              <w:t xml:space="preserve">Joint: </w:t>
            </w:r>
            <w:r w:rsidRPr="00C62286">
              <w:rPr>
                <w:rFonts w:ascii="Arial" w:hAnsi="Arial" w:cs="Arial"/>
              </w:rPr>
              <w:t>Joint development of needs assessment and agreement of shared priorities with lead commissioners.  Joint agreement of resource allocation and aligning/pooling budgets where appropriate, CICH team to support/advise on other stages of commissioning cycle as agreed but CICH key role is ensuring clear communication processes and co-ordination and effective interface with other children’s services.</w:t>
            </w:r>
          </w:p>
          <w:p w14:paraId="5A3BDA98" w14:textId="77777777" w:rsidR="00C62286" w:rsidRPr="00C62286" w:rsidRDefault="00C62286" w:rsidP="00C62286">
            <w:pPr>
              <w:spacing w:line="360" w:lineRule="auto"/>
              <w:ind w:left="632"/>
              <w:rPr>
                <w:rFonts w:ascii="Arial" w:hAnsi="Arial" w:cs="Arial"/>
              </w:rPr>
            </w:pPr>
          </w:p>
          <w:p w14:paraId="453DE557" w14:textId="77777777" w:rsidR="00C62286" w:rsidRPr="00C62286" w:rsidRDefault="00C62286" w:rsidP="00C62286">
            <w:pPr>
              <w:tabs>
                <w:tab w:val="num" w:pos="1352"/>
              </w:tabs>
              <w:spacing w:line="360" w:lineRule="auto"/>
              <w:jc w:val="both"/>
              <w:rPr>
                <w:rFonts w:ascii="Arial" w:hAnsi="Arial" w:cs="Arial"/>
              </w:rPr>
            </w:pPr>
            <w:r w:rsidRPr="00C62286">
              <w:rPr>
                <w:rFonts w:ascii="Arial" w:hAnsi="Arial" w:cs="Arial"/>
                <w:b/>
              </w:rPr>
              <w:t xml:space="preserve">National/Regional: </w:t>
            </w:r>
            <w:r w:rsidRPr="00C62286">
              <w:rPr>
                <w:rFonts w:ascii="Arial" w:hAnsi="Arial" w:cs="Arial"/>
              </w:rPr>
              <w:t xml:space="preserve">Where specialised services are commissioned by NHS England at a regional or national level, the CICH role is to represent </w:t>
            </w:r>
            <w:r w:rsidRPr="00C62286">
              <w:rPr>
                <w:rFonts w:ascii="Arial" w:hAnsi="Arial" w:cs="Arial"/>
              </w:rPr>
              <w:lastRenderedPageBreak/>
              <w:t>local commissioners as appropriate at networks and ensure effective interface between specialised and local non-specialised services.</w:t>
            </w:r>
          </w:p>
          <w:p w14:paraId="11B33754" w14:textId="7E4E1BFD" w:rsidR="00EC0C6E" w:rsidRPr="00B32DF7" w:rsidRDefault="00585E57" w:rsidP="00C62286">
            <w:pPr>
              <w:pStyle w:val="NormalWeb"/>
              <w:shd w:val="clear" w:color="auto" w:fill="FFFFFF"/>
              <w:spacing w:before="120" w:beforeAutospacing="0" w:after="120" w:afterAutospacing="0" w:line="360" w:lineRule="auto"/>
              <w:jc w:val="both"/>
              <w:rPr>
                <w:rFonts w:ascii="Arial" w:hAnsi="Arial" w:cs="Arial"/>
                <w:lang w:val="en"/>
              </w:rPr>
            </w:pPr>
            <w:r>
              <w:rPr>
                <w:rFonts w:ascii="Arial" w:hAnsi="Arial" w:cs="Arial"/>
                <w:sz w:val="22"/>
                <w:szCs w:val="22"/>
              </w:rPr>
              <w:t xml:space="preserve">Services </w:t>
            </w:r>
            <w:r w:rsidR="009B654E">
              <w:rPr>
                <w:rFonts w:ascii="Arial" w:hAnsi="Arial" w:cs="Arial"/>
                <w:sz w:val="22"/>
                <w:szCs w:val="22"/>
              </w:rPr>
              <w:t xml:space="preserve">that are commissioned </w:t>
            </w:r>
            <w:r>
              <w:rPr>
                <w:rFonts w:ascii="Arial" w:hAnsi="Arial" w:cs="Arial"/>
                <w:sz w:val="22"/>
                <w:szCs w:val="22"/>
              </w:rPr>
              <w:t>will collect data from individuals</w:t>
            </w:r>
            <w:r w:rsidR="009B654E">
              <w:rPr>
                <w:rFonts w:ascii="Arial" w:hAnsi="Arial" w:cs="Arial"/>
                <w:sz w:val="22"/>
                <w:szCs w:val="22"/>
              </w:rPr>
              <w:t xml:space="preserve"> and their representatives/</w:t>
            </w:r>
            <w:r>
              <w:rPr>
                <w:rFonts w:ascii="Arial" w:hAnsi="Arial" w:cs="Arial"/>
                <w:sz w:val="22"/>
                <w:szCs w:val="22"/>
              </w:rPr>
              <w:t xml:space="preserve">legal </w:t>
            </w:r>
            <w:r w:rsidR="009B654E">
              <w:rPr>
                <w:rFonts w:ascii="Arial" w:hAnsi="Arial" w:cs="Arial"/>
                <w:sz w:val="22"/>
                <w:szCs w:val="22"/>
              </w:rPr>
              <w:t xml:space="preserve">guardian </w:t>
            </w:r>
            <w:r>
              <w:rPr>
                <w:rFonts w:ascii="Arial" w:hAnsi="Arial" w:cs="Arial"/>
                <w:sz w:val="22"/>
                <w:szCs w:val="22"/>
              </w:rPr>
              <w:t xml:space="preserve">when they engage with their service and are responsible for handling </w:t>
            </w:r>
            <w:r w:rsidR="009B654E">
              <w:rPr>
                <w:rFonts w:ascii="Arial" w:hAnsi="Arial" w:cs="Arial"/>
                <w:sz w:val="22"/>
                <w:szCs w:val="22"/>
              </w:rPr>
              <w:t>personal data and that they hold a secure and accurate record regarding any engagement with their service.</w:t>
            </w:r>
          </w:p>
        </w:tc>
      </w:tr>
      <w:tr w:rsidR="00DB4F29" w14:paraId="4F07A23C" w14:textId="77777777" w:rsidTr="00C62286">
        <w:tc>
          <w:tcPr>
            <w:tcW w:w="1838" w:type="dxa"/>
          </w:tcPr>
          <w:p w14:paraId="765AE9F9" w14:textId="78502B67" w:rsidR="00DB4F29" w:rsidRPr="00DA3EDA" w:rsidRDefault="00DB4F29" w:rsidP="005629F6">
            <w:pPr>
              <w:rPr>
                <w:rFonts w:ascii="Arial" w:hAnsi="Arial" w:cs="Arial"/>
                <w:b/>
              </w:rPr>
            </w:pPr>
            <w:r w:rsidRPr="00DA3EDA">
              <w:rPr>
                <w:rFonts w:ascii="Arial" w:hAnsi="Arial" w:cs="Arial"/>
                <w:b/>
              </w:rPr>
              <w:lastRenderedPageBreak/>
              <w:t>Who we will share the information with</w:t>
            </w:r>
            <w:r w:rsidR="00B32DF7">
              <w:rPr>
                <w:rFonts w:ascii="Arial" w:hAnsi="Arial" w:cs="Arial"/>
                <w:b/>
              </w:rPr>
              <w:t>.</w:t>
            </w:r>
          </w:p>
          <w:p w14:paraId="18CEE122" w14:textId="77777777" w:rsidR="00DB4F29" w:rsidRPr="00DA3EDA" w:rsidRDefault="00DB4F29" w:rsidP="005629F6">
            <w:pPr>
              <w:rPr>
                <w:rFonts w:ascii="Arial" w:hAnsi="Arial" w:cs="Arial"/>
                <w:b/>
              </w:rPr>
            </w:pPr>
          </w:p>
          <w:p w14:paraId="539F8993" w14:textId="77777777" w:rsidR="00DB4F29" w:rsidRPr="00DA3EDA" w:rsidRDefault="00DB4F29" w:rsidP="005629F6">
            <w:pPr>
              <w:rPr>
                <w:rFonts w:ascii="Arial" w:hAnsi="Arial" w:cs="Arial"/>
                <w:b/>
              </w:rPr>
            </w:pPr>
          </w:p>
        </w:tc>
        <w:tc>
          <w:tcPr>
            <w:tcW w:w="7178" w:type="dxa"/>
          </w:tcPr>
          <w:p w14:paraId="1D48742B" w14:textId="77777777" w:rsidR="009B654E" w:rsidRPr="0023663D" w:rsidRDefault="00585E57" w:rsidP="00C62286">
            <w:pPr>
              <w:pStyle w:val="NormalWeb"/>
              <w:shd w:val="clear" w:color="auto" w:fill="FFFFFF"/>
              <w:spacing w:before="120" w:beforeAutospacing="0" w:after="120" w:afterAutospacing="0" w:line="360" w:lineRule="auto"/>
              <w:jc w:val="both"/>
              <w:rPr>
                <w:rFonts w:ascii="Arial" w:hAnsi="Arial" w:cs="Arial"/>
                <w:sz w:val="22"/>
                <w:szCs w:val="22"/>
              </w:rPr>
            </w:pPr>
            <w:r w:rsidRPr="0023663D">
              <w:rPr>
                <w:rFonts w:ascii="Arial" w:hAnsi="Arial" w:cs="Arial"/>
                <w:sz w:val="22"/>
                <w:szCs w:val="22"/>
              </w:rPr>
              <w:t>The CICH will share personal data that is required to</w:t>
            </w:r>
            <w:r w:rsidR="009B654E" w:rsidRPr="0023663D">
              <w:rPr>
                <w:rFonts w:ascii="Arial" w:hAnsi="Arial" w:cs="Arial"/>
                <w:sz w:val="22"/>
                <w:szCs w:val="22"/>
              </w:rPr>
              <w:t xml:space="preserve"> support integrated CYP commissioning.</w:t>
            </w:r>
          </w:p>
          <w:p w14:paraId="2A6DBD65" w14:textId="7CB99BEF" w:rsidR="008F2012" w:rsidRPr="004218BF" w:rsidRDefault="0023663D" w:rsidP="00C62286">
            <w:pPr>
              <w:spacing w:line="360" w:lineRule="auto"/>
              <w:rPr>
                <w:rFonts w:ascii="Arial" w:hAnsi="Arial" w:cs="Arial"/>
              </w:rPr>
            </w:pPr>
            <w:r w:rsidRPr="0023663D">
              <w:rPr>
                <w:rFonts w:ascii="Arial" w:eastAsia="Times New Roman" w:hAnsi="Arial" w:cs="Arial"/>
                <w:iCs/>
                <w:lang w:val="en" w:eastAsia="en-GB"/>
              </w:rPr>
              <w:t>The CICH will share your de-identified and anonymised data to ensure the service works and that CYP integrated commission can improve and adapt.</w:t>
            </w:r>
          </w:p>
        </w:tc>
      </w:tr>
      <w:tr w:rsidR="00DB4F29" w14:paraId="5573FBEF" w14:textId="77777777" w:rsidTr="00C62286">
        <w:tc>
          <w:tcPr>
            <w:tcW w:w="1838" w:type="dxa"/>
          </w:tcPr>
          <w:p w14:paraId="72E7A9C4" w14:textId="369E07A7" w:rsidR="00DB4F29" w:rsidRPr="00DA3EDA" w:rsidRDefault="00DB4F29">
            <w:pPr>
              <w:rPr>
                <w:rFonts w:ascii="Arial" w:hAnsi="Arial" w:cs="Arial"/>
                <w:b/>
              </w:rPr>
            </w:pPr>
            <w:r>
              <w:rPr>
                <w:rFonts w:ascii="Arial" w:hAnsi="Arial" w:cs="Arial"/>
                <w:b/>
              </w:rPr>
              <w:t>Legal Basis for Processing Personal Data</w:t>
            </w:r>
          </w:p>
        </w:tc>
        <w:tc>
          <w:tcPr>
            <w:tcW w:w="7178" w:type="dxa"/>
          </w:tcPr>
          <w:p w14:paraId="488A1889" w14:textId="77777777" w:rsidR="008F2012" w:rsidRDefault="008F2012" w:rsidP="00C62286">
            <w:pPr>
              <w:spacing w:before="60" w:line="360" w:lineRule="auto"/>
              <w:jc w:val="both"/>
              <w:rPr>
                <w:rFonts w:ascii="Arial" w:hAnsi="Arial" w:cs="Arial"/>
                <w:lang w:val="en-US"/>
              </w:rPr>
            </w:pPr>
            <w:r>
              <w:rPr>
                <w:rFonts w:ascii="Arial" w:eastAsia="Times New Roman" w:hAnsi="Arial" w:cs="Arial"/>
                <w:lang w:val="en-US" w:eastAsia="en-GB"/>
              </w:rPr>
              <w:t>6(1)(e) processing is necessary for the performance of a task carried out in the public interest or in the exercise of official authority vested in the controller.</w:t>
            </w:r>
          </w:p>
          <w:p w14:paraId="74DC2598" w14:textId="7C48FC13" w:rsidR="008F2012" w:rsidRDefault="008F2012" w:rsidP="00C62286">
            <w:pPr>
              <w:spacing w:before="60" w:line="360" w:lineRule="auto"/>
              <w:jc w:val="both"/>
              <w:rPr>
                <w:rFonts w:ascii="Arial" w:hAnsi="Arial" w:cs="Arial"/>
                <w:lang w:val="en-US"/>
              </w:rPr>
            </w:pPr>
            <w:r>
              <w:rPr>
                <w:rFonts w:ascii="Arial" w:hAnsi="Arial" w:cs="Arial"/>
                <w:lang w:val="en-US"/>
              </w:rPr>
              <w:t>NHS Act 2006</w:t>
            </w:r>
            <w:r w:rsidR="0053071D">
              <w:rPr>
                <w:rFonts w:ascii="Arial" w:hAnsi="Arial" w:cs="Arial"/>
                <w:lang w:val="en-US"/>
              </w:rPr>
              <w:t xml:space="preserve"> ICB duties - section</w:t>
            </w:r>
            <w:r>
              <w:rPr>
                <w:rFonts w:ascii="Arial" w:hAnsi="Arial" w:cs="Arial"/>
                <w:lang w:val="en-US"/>
              </w:rPr>
              <w:t>:</w:t>
            </w:r>
          </w:p>
          <w:p w14:paraId="3C9B32A7" w14:textId="17939DEC" w:rsidR="008F2012" w:rsidRDefault="008F2012" w:rsidP="00C62286">
            <w:pPr>
              <w:pStyle w:val="ListParagraph"/>
              <w:numPr>
                <w:ilvl w:val="0"/>
                <w:numId w:val="9"/>
              </w:numPr>
              <w:spacing w:before="60" w:line="360" w:lineRule="auto"/>
              <w:jc w:val="both"/>
              <w:rPr>
                <w:rFonts w:ascii="Arial" w:hAnsi="Arial" w:cs="Arial"/>
                <w:lang w:val="en-US"/>
              </w:rPr>
            </w:pPr>
            <w:r>
              <w:rPr>
                <w:rFonts w:ascii="Arial" w:hAnsi="Arial" w:cs="Arial"/>
                <w:lang w:val="en-US"/>
              </w:rPr>
              <w:t>14Z34 improvement in quality of services.</w:t>
            </w:r>
          </w:p>
          <w:p w14:paraId="28F30304" w14:textId="4170F5AB" w:rsidR="008F2012" w:rsidRDefault="008F2012" w:rsidP="00C62286">
            <w:pPr>
              <w:pStyle w:val="ListParagraph"/>
              <w:numPr>
                <w:ilvl w:val="0"/>
                <w:numId w:val="9"/>
              </w:numPr>
              <w:spacing w:before="60" w:after="120" w:line="360" w:lineRule="auto"/>
              <w:ind w:left="714" w:hanging="357"/>
              <w:jc w:val="both"/>
              <w:rPr>
                <w:rFonts w:ascii="Arial" w:hAnsi="Arial" w:cs="Arial"/>
                <w:lang w:val="en-US"/>
              </w:rPr>
            </w:pPr>
            <w:r>
              <w:rPr>
                <w:rFonts w:ascii="Arial" w:hAnsi="Arial" w:cs="Arial"/>
                <w:lang w:val="en-US"/>
              </w:rPr>
              <w:t>14Z3</w:t>
            </w:r>
            <w:r w:rsidR="0053071D">
              <w:rPr>
                <w:rFonts w:ascii="Arial" w:hAnsi="Arial" w:cs="Arial"/>
                <w:lang w:val="en-US"/>
              </w:rPr>
              <w:t>5 reducing inequalities</w:t>
            </w:r>
            <w:r>
              <w:rPr>
                <w:rFonts w:ascii="Arial" w:hAnsi="Arial" w:cs="Arial"/>
                <w:lang w:val="en-US"/>
              </w:rPr>
              <w:t>.</w:t>
            </w:r>
          </w:p>
          <w:p w14:paraId="470EDB36" w14:textId="61627350" w:rsidR="0053071D" w:rsidRDefault="0053071D" w:rsidP="00C62286">
            <w:pPr>
              <w:pStyle w:val="ListParagraph"/>
              <w:numPr>
                <w:ilvl w:val="0"/>
                <w:numId w:val="9"/>
              </w:numPr>
              <w:spacing w:before="60" w:after="120" w:line="360" w:lineRule="auto"/>
              <w:ind w:left="714" w:hanging="357"/>
              <w:jc w:val="both"/>
              <w:rPr>
                <w:rFonts w:ascii="Arial" w:hAnsi="Arial" w:cs="Arial"/>
                <w:lang w:val="en-US"/>
              </w:rPr>
            </w:pPr>
            <w:r>
              <w:rPr>
                <w:rFonts w:ascii="Arial" w:hAnsi="Arial" w:cs="Arial"/>
                <w:color w:val="1E1E1E"/>
                <w:shd w:val="clear" w:color="auto" w:fill="FFFFFF"/>
              </w:rPr>
              <w:t>section 116</w:t>
            </w:r>
            <w:proofErr w:type="gramStart"/>
            <w:r>
              <w:rPr>
                <w:rFonts w:ascii="Arial" w:hAnsi="Arial" w:cs="Arial"/>
                <w:color w:val="1E1E1E"/>
                <w:shd w:val="clear" w:color="auto" w:fill="FFFFFF"/>
              </w:rPr>
              <w:t>B(</w:t>
            </w:r>
            <w:proofErr w:type="gramEnd"/>
            <w:r>
              <w:rPr>
                <w:rFonts w:ascii="Arial" w:hAnsi="Arial" w:cs="Arial"/>
                <w:color w:val="1E1E1E"/>
                <w:shd w:val="clear" w:color="auto" w:fill="FFFFFF"/>
              </w:rPr>
              <w:t>1) of the Local Government and Public Involvement in Health Act 2007</w:t>
            </w:r>
          </w:p>
          <w:p w14:paraId="0DC77BD6" w14:textId="77777777" w:rsidR="008F2012" w:rsidRPr="009B654E" w:rsidRDefault="008F2012" w:rsidP="00C62286">
            <w:pPr>
              <w:spacing w:before="100" w:beforeAutospacing="1" w:after="100" w:afterAutospacing="1" w:line="360" w:lineRule="auto"/>
              <w:jc w:val="both"/>
              <w:outlineLvl w:val="2"/>
              <w:rPr>
                <w:rStyle w:val="Hyperlink"/>
                <w:rFonts w:ascii="Arial" w:eastAsia="Times New Roman" w:hAnsi="Arial" w:cs="Arial"/>
                <w:bCs/>
                <w:lang w:eastAsia="en-GB"/>
              </w:rPr>
            </w:pPr>
            <w:r w:rsidRPr="009B654E">
              <w:rPr>
                <w:rFonts w:ascii="Arial" w:eastAsia="Times New Roman" w:hAnsi="Arial" w:cs="Arial"/>
                <w:bCs/>
                <w:lang w:val="en-US" w:eastAsia="en-GB"/>
              </w:rPr>
              <w:t>9(2)(h</w:t>
            </w:r>
            <w:r w:rsidRPr="009B654E">
              <w:rPr>
                <w:rFonts w:ascii="Arial" w:eastAsia="Times New Roman" w:hAnsi="Arial" w:cs="Arial"/>
                <w:b/>
                <w:lang w:val="en-US" w:eastAsia="en-GB"/>
              </w:rPr>
              <w:t>)</w:t>
            </w:r>
            <w:r w:rsidRPr="009B654E">
              <w:rPr>
                <w:rFonts w:ascii="Arial" w:eastAsia="Times New Roman" w:hAnsi="Arial" w:cs="Arial"/>
                <w:bCs/>
                <w:lang w:val="en-US" w:eastAsia="en-GB"/>
              </w:rPr>
              <w:t xml:space="preserve">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w:t>
            </w:r>
            <w:hyperlink r:id="rId9" w:history="1">
              <w:r w:rsidRPr="009B654E">
                <w:rPr>
                  <w:rStyle w:val="Hyperlink"/>
                  <w:rFonts w:ascii="Arial" w:eastAsia="Times New Roman" w:hAnsi="Arial" w:cs="Arial"/>
                  <w:bCs/>
                  <w:lang w:val="en-US" w:eastAsia="en-GB"/>
                </w:rPr>
                <w:t>paragraph 3</w:t>
              </w:r>
            </w:hyperlink>
          </w:p>
          <w:p w14:paraId="38E669E1" w14:textId="77777777" w:rsidR="008F2012" w:rsidRPr="009B654E" w:rsidRDefault="008F2012" w:rsidP="00C62286">
            <w:pPr>
              <w:spacing w:line="360" w:lineRule="auto"/>
              <w:jc w:val="both"/>
              <w:rPr>
                <w:rFonts w:ascii="Arial" w:hAnsi="Arial" w:cs="Arial"/>
              </w:rPr>
            </w:pPr>
            <w:r w:rsidRPr="009B654E">
              <w:rPr>
                <w:rFonts w:ascii="Arial" w:hAnsi="Arial" w:cs="Arial"/>
              </w:rPr>
              <w:t>Schedule 1 part 1 (2) of the DPA 2018 ‘Health or Social Care purposes’.</w:t>
            </w:r>
          </w:p>
          <w:p w14:paraId="58EDA6CD" w14:textId="77777777" w:rsidR="00F606CF" w:rsidRPr="009B654E" w:rsidRDefault="00F606CF" w:rsidP="00C62286">
            <w:pPr>
              <w:spacing w:line="360" w:lineRule="auto"/>
              <w:jc w:val="both"/>
              <w:rPr>
                <w:rFonts w:ascii="Arial" w:hAnsi="Arial" w:cs="Arial"/>
                <w:lang w:val="en-US"/>
              </w:rPr>
            </w:pPr>
          </w:p>
          <w:p w14:paraId="2C22FDEB" w14:textId="77A00799" w:rsidR="008F2012" w:rsidRPr="008F2012" w:rsidRDefault="000A1101" w:rsidP="00C62286">
            <w:pPr>
              <w:spacing w:line="360" w:lineRule="auto"/>
              <w:jc w:val="both"/>
              <w:rPr>
                <w:rFonts w:ascii="Arial" w:hAnsi="Arial" w:cs="Arial"/>
                <w:lang w:val="en-US"/>
              </w:rPr>
            </w:pPr>
            <w:r w:rsidRPr="009B654E">
              <w:rPr>
                <w:rFonts w:ascii="Arial" w:hAnsi="Arial" w:cs="Arial"/>
              </w:rPr>
              <w:t xml:space="preserve">Section 75 allows combined authorities that have been delegated NHS functions under a section 65Z5 delegation to </w:t>
            </w:r>
            <w:proofErr w:type="gramStart"/>
            <w:r w:rsidRPr="009B654E">
              <w:rPr>
                <w:rFonts w:ascii="Arial" w:hAnsi="Arial" w:cs="Arial"/>
              </w:rPr>
              <w:t>enter into</w:t>
            </w:r>
            <w:proofErr w:type="gramEnd"/>
            <w:r w:rsidRPr="009B654E">
              <w:rPr>
                <w:rFonts w:ascii="Arial" w:hAnsi="Arial" w:cs="Arial"/>
              </w:rPr>
              <w:t xml:space="preserve"> a section 75 arrangement in relation to those functions, as if they were an NHS body</w:t>
            </w:r>
            <w:r w:rsidR="009B654E" w:rsidRPr="009B654E">
              <w:rPr>
                <w:rFonts w:ascii="Arial" w:hAnsi="Arial" w:cs="Arial"/>
              </w:rPr>
              <w:t>.</w:t>
            </w:r>
          </w:p>
        </w:tc>
      </w:tr>
      <w:tr w:rsidR="00975D3C" w14:paraId="2B488352" w14:textId="77777777" w:rsidTr="00C62286">
        <w:tc>
          <w:tcPr>
            <w:tcW w:w="1838" w:type="dxa"/>
          </w:tcPr>
          <w:p w14:paraId="5D94D850" w14:textId="77777777" w:rsidR="00975D3C" w:rsidRPr="00DA3EDA" w:rsidRDefault="00975D3C">
            <w:pPr>
              <w:rPr>
                <w:rFonts w:ascii="Arial" w:hAnsi="Arial" w:cs="Arial"/>
                <w:b/>
              </w:rPr>
            </w:pPr>
            <w:r>
              <w:rPr>
                <w:rFonts w:ascii="Arial" w:hAnsi="Arial" w:cs="Arial"/>
                <w:b/>
              </w:rPr>
              <w:lastRenderedPageBreak/>
              <w:t>Common Law Duty of Confidentiality</w:t>
            </w:r>
          </w:p>
        </w:tc>
        <w:tc>
          <w:tcPr>
            <w:tcW w:w="7178" w:type="dxa"/>
          </w:tcPr>
          <w:p w14:paraId="323B62C2" w14:textId="354A8BFC" w:rsidR="00DC0E91" w:rsidRPr="00975D3C" w:rsidRDefault="00585E57" w:rsidP="00C62286">
            <w:pPr>
              <w:spacing w:before="120" w:line="360" w:lineRule="auto"/>
              <w:rPr>
                <w:rFonts w:ascii="Arial" w:hAnsi="Arial" w:cs="Arial"/>
              </w:rPr>
            </w:pPr>
            <w:r>
              <w:rPr>
                <w:rFonts w:ascii="Arial" w:hAnsi="Arial" w:cs="Arial"/>
              </w:rPr>
              <w:t>Explicit informed consent</w:t>
            </w:r>
            <w:r w:rsidR="00063BC6">
              <w:rPr>
                <w:rFonts w:ascii="Arial" w:hAnsi="Arial" w:cs="Arial"/>
              </w:rPr>
              <w:t xml:space="preserve"> where required.</w:t>
            </w:r>
          </w:p>
        </w:tc>
      </w:tr>
      <w:tr w:rsidR="00DB4F29" w14:paraId="2612E712" w14:textId="77777777" w:rsidTr="00C62286">
        <w:tc>
          <w:tcPr>
            <w:tcW w:w="1838" w:type="dxa"/>
          </w:tcPr>
          <w:p w14:paraId="17E2A846" w14:textId="77777777" w:rsidR="00DB4F29" w:rsidRPr="00DA3EDA" w:rsidRDefault="00DB4F29">
            <w:pPr>
              <w:rPr>
                <w:rFonts w:ascii="Arial" w:hAnsi="Arial" w:cs="Arial"/>
                <w:b/>
              </w:rPr>
            </w:pPr>
            <w:r w:rsidRPr="00DA3EDA">
              <w:rPr>
                <w:rFonts w:ascii="Arial" w:hAnsi="Arial" w:cs="Arial"/>
                <w:b/>
              </w:rPr>
              <w:t>Data Processors</w:t>
            </w:r>
          </w:p>
          <w:p w14:paraId="6D5E43D8" w14:textId="77777777" w:rsidR="00DB4F29" w:rsidRPr="00DA3EDA" w:rsidRDefault="00DB4F29">
            <w:pPr>
              <w:rPr>
                <w:rFonts w:ascii="Arial" w:hAnsi="Arial" w:cs="Arial"/>
                <w:b/>
              </w:rPr>
            </w:pPr>
          </w:p>
        </w:tc>
        <w:tc>
          <w:tcPr>
            <w:tcW w:w="7178" w:type="dxa"/>
          </w:tcPr>
          <w:p w14:paraId="545D9B12" w14:textId="140E6926" w:rsidR="001F10AC" w:rsidRPr="00020709" w:rsidRDefault="004B1E51" w:rsidP="00C62286">
            <w:pPr>
              <w:pStyle w:val="NormalWeb"/>
              <w:shd w:val="clear" w:color="auto" w:fill="FFFFFF"/>
              <w:spacing w:before="120" w:beforeAutospacing="0" w:after="120" w:afterAutospacing="0" w:line="360" w:lineRule="auto"/>
              <w:jc w:val="both"/>
              <w:rPr>
                <w:rFonts w:ascii="Arial" w:hAnsi="Arial" w:cs="Arial"/>
              </w:rPr>
            </w:pPr>
            <w:r w:rsidRPr="000A1101">
              <w:rPr>
                <w:rFonts w:ascii="Arial" w:hAnsi="Arial" w:cs="Arial"/>
                <w:sz w:val="22"/>
                <w:szCs w:val="22"/>
              </w:rPr>
              <w:t xml:space="preserve">The CICH will collect and use data in support of </w:t>
            </w:r>
            <w:r>
              <w:rPr>
                <w:rFonts w:ascii="Arial" w:hAnsi="Arial" w:cs="Arial"/>
                <w:sz w:val="22"/>
                <w:szCs w:val="22"/>
              </w:rPr>
              <w:t xml:space="preserve">integrated </w:t>
            </w:r>
            <w:r w:rsidRPr="000A1101">
              <w:rPr>
                <w:rFonts w:ascii="Arial" w:hAnsi="Arial" w:cs="Arial"/>
                <w:sz w:val="22"/>
                <w:szCs w:val="22"/>
              </w:rPr>
              <w:t xml:space="preserve">CYP </w:t>
            </w:r>
            <w:r>
              <w:rPr>
                <w:rFonts w:ascii="Arial" w:hAnsi="Arial" w:cs="Arial"/>
                <w:sz w:val="22"/>
                <w:szCs w:val="22"/>
              </w:rPr>
              <w:t xml:space="preserve">commissioning and ICB </w:t>
            </w:r>
            <w:r w:rsidR="00FF20FE">
              <w:rPr>
                <w:rFonts w:ascii="Arial" w:hAnsi="Arial" w:cs="Arial"/>
                <w:sz w:val="22"/>
                <w:szCs w:val="22"/>
              </w:rPr>
              <w:t xml:space="preserve">services </w:t>
            </w:r>
            <w:r w:rsidR="009D147A">
              <w:rPr>
                <w:rFonts w:ascii="Arial" w:hAnsi="Arial" w:cs="Arial"/>
                <w:sz w:val="22"/>
                <w:szCs w:val="22"/>
              </w:rPr>
              <w:t xml:space="preserve">or teams </w:t>
            </w:r>
            <w:r>
              <w:rPr>
                <w:rFonts w:ascii="Arial" w:hAnsi="Arial" w:cs="Arial"/>
                <w:sz w:val="22"/>
                <w:szCs w:val="22"/>
              </w:rPr>
              <w:t xml:space="preserve">may act as data </w:t>
            </w:r>
            <w:proofErr w:type="gramStart"/>
            <w:r>
              <w:rPr>
                <w:rFonts w:ascii="Arial" w:hAnsi="Arial" w:cs="Arial"/>
                <w:sz w:val="22"/>
                <w:szCs w:val="22"/>
              </w:rPr>
              <w:t>processors  as</w:t>
            </w:r>
            <w:proofErr w:type="gramEnd"/>
            <w:r>
              <w:rPr>
                <w:rFonts w:ascii="Arial" w:hAnsi="Arial" w:cs="Arial"/>
                <w:sz w:val="22"/>
                <w:szCs w:val="22"/>
              </w:rPr>
              <w:t xml:space="preserve"> part of CICH data processes.</w:t>
            </w:r>
          </w:p>
        </w:tc>
      </w:tr>
      <w:tr w:rsidR="00DB4F29" w14:paraId="218BFA80" w14:textId="77777777" w:rsidTr="00C62286">
        <w:trPr>
          <w:trHeight w:val="1363"/>
        </w:trPr>
        <w:tc>
          <w:tcPr>
            <w:tcW w:w="1838" w:type="dxa"/>
          </w:tcPr>
          <w:p w14:paraId="3E3755BC" w14:textId="77777777" w:rsidR="00DB4F29" w:rsidRPr="00C004E7" w:rsidRDefault="00DB4F29">
            <w:pPr>
              <w:rPr>
                <w:rFonts w:ascii="Arial" w:eastAsia="Times New Roman" w:hAnsi="Arial" w:cs="Arial"/>
                <w:b/>
                <w:bCs/>
                <w:color w:val="231F20"/>
                <w:lang w:eastAsia="en-GB"/>
              </w:rPr>
            </w:pPr>
            <w:r w:rsidRPr="00C004E7">
              <w:rPr>
                <w:rFonts w:ascii="Arial" w:eastAsia="Times New Roman" w:hAnsi="Arial" w:cs="Arial"/>
                <w:b/>
                <w:bCs/>
                <w:color w:val="231F20"/>
                <w:lang w:eastAsia="en-GB"/>
              </w:rPr>
              <w:t>Your Rights</w:t>
            </w:r>
          </w:p>
          <w:p w14:paraId="6BE0EFFA" w14:textId="77777777" w:rsidR="00DB4F29" w:rsidRPr="00AD4CAF" w:rsidRDefault="00DB4F29">
            <w:pPr>
              <w:rPr>
                <w:rFonts w:ascii="Arial" w:eastAsia="Times New Roman" w:hAnsi="Arial" w:cs="Arial"/>
                <w:color w:val="231F20"/>
                <w:lang w:eastAsia="en-GB"/>
              </w:rPr>
            </w:pPr>
          </w:p>
          <w:p w14:paraId="2F632C21" w14:textId="77777777" w:rsidR="00DB4F29" w:rsidRPr="00AD4CAF" w:rsidRDefault="00DB4F29">
            <w:pPr>
              <w:rPr>
                <w:rFonts w:ascii="Arial" w:eastAsia="Times New Roman" w:hAnsi="Arial" w:cs="Arial"/>
                <w:color w:val="231F20"/>
                <w:lang w:eastAsia="en-GB"/>
              </w:rPr>
            </w:pPr>
          </w:p>
          <w:p w14:paraId="0AA0AD75" w14:textId="77777777" w:rsidR="00DB4F29" w:rsidRPr="00AD4CAF" w:rsidRDefault="00DB4F29">
            <w:pPr>
              <w:rPr>
                <w:rFonts w:ascii="Arial" w:eastAsia="Times New Roman" w:hAnsi="Arial" w:cs="Arial"/>
                <w:color w:val="231F20"/>
                <w:lang w:eastAsia="en-GB"/>
              </w:rPr>
            </w:pPr>
          </w:p>
          <w:p w14:paraId="512B0F36" w14:textId="77777777" w:rsidR="00DB4F29" w:rsidRPr="00AD4CAF" w:rsidRDefault="00DB4F29">
            <w:pPr>
              <w:rPr>
                <w:rFonts w:ascii="Arial" w:eastAsia="Times New Roman" w:hAnsi="Arial" w:cs="Arial"/>
                <w:color w:val="231F20"/>
                <w:lang w:eastAsia="en-GB"/>
              </w:rPr>
            </w:pPr>
          </w:p>
        </w:tc>
        <w:tc>
          <w:tcPr>
            <w:tcW w:w="7178" w:type="dxa"/>
          </w:tcPr>
          <w:p w14:paraId="4500AC92" w14:textId="1FE5FE9D" w:rsidR="00585E57" w:rsidRDefault="00585E57" w:rsidP="00C62286">
            <w:pPr>
              <w:spacing w:before="60" w:after="200" w:line="360" w:lineRule="auto"/>
              <w:jc w:val="both"/>
              <w:rPr>
                <w:rFonts w:ascii="Arial" w:eastAsia="Times New Roman" w:hAnsi="Arial" w:cs="Arial"/>
                <w:color w:val="231F20"/>
                <w:lang w:eastAsia="en-GB"/>
              </w:rPr>
            </w:pPr>
            <w:r>
              <w:rPr>
                <w:rFonts w:ascii="Arial" w:eastAsia="Times New Roman" w:hAnsi="Arial" w:cs="Arial"/>
                <w:color w:val="231F20"/>
                <w:lang w:eastAsia="en-GB"/>
              </w:rPr>
              <w:t>To be informed about the processing of your information (this</w:t>
            </w:r>
            <w:r w:rsidR="0023663D">
              <w:rPr>
                <w:rFonts w:ascii="Arial" w:eastAsia="Times New Roman" w:hAnsi="Arial" w:cs="Arial"/>
                <w:color w:val="231F20"/>
                <w:lang w:eastAsia="en-GB"/>
              </w:rPr>
              <w:t xml:space="preserve"> </w:t>
            </w:r>
            <w:r>
              <w:rPr>
                <w:rFonts w:ascii="Arial" w:eastAsia="Times New Roman" w:hAnsi="Arial" w:cs="Arial"/>
                <w:color w:val="231F20"/>
                <w:lang w:eastAsia="en-GB"/>
              </w:rPr>
              <w:t>notice)</w:t>
            </w:r>
          </w:p>
          <w:p w14:paraId="45E94976" w14:textId="77777777" w:rsidR="00585E57" w:rsidRDefault="00585E57" w:rsidP="00C62286">
            <w:pPr>
              <w:spacing w:before="60" w:line="360" w:lineRule="auto"/>
              <w:ind w:left="284"/>
              <w:jc w:val="both"/>
              <w:rPr>
                <w:rFonts w:ascii="Arial" w:eastAsia="Times New Roman" w:hAnsi="Arial" w:cs="Arial"/>
                <w:color w:val="231F20"/>
                <w:lang w:eastAsia="en-GB"/>
              </w:rPr>
            </w:pPr>
            <w:r>
              <w:rPr>
                <w:rFonts w:ascii="Arial" w:eastAsia="Times New Roman" w:hAnsi="Arial" w:cs="Arial"/>
                <w:color w:val="231F20"/>
                <w:lang w:eastAsia="en-GB"/>
              </w:rPr>
              <w:t>• Of access to information held about you</w:t>
            </w:r>
          </w:p>
          <w:p w14:paraId="21B40757" w14:textId="77777777" w:rsidR="00585E57" w:rsidRDefault="00585E57" w:rsidP="00C62286">
            <w:pPr>
              <w:spacing w:before="60" w:line="360" w:lineRule="auto"/>
              <w:ind w:left="284"/>
              <w:jc w:val="both"/>
              <w:rPr>
                <w:rFonts w:ascii="Arial" w:eastAsia="Times New Roman" w:hAnsi="Arial" w:cs="Arial"/>
                <w:color w:val="231F20"/>
                <w:lang w:eastAsia="en-GB"/>
              </w:rPr>
            </w:pPr>
            <w:r>
              <w:rPr>
                <w:rFonts w:ascii="Arial" w:eastAsia="Times New Roman" w:hAnsi="Arial" w:cs="Arial"/>
                <w:color w:val="231F20"/>
                <w:lang w:eastAsia="en-GB"/>
              </w:rPr>
              <w:t xml:space="preserve">• Have the information corrected </w:t>
            </w:r>
            <w:proofErr w:type="gramStart"/>
            <w:r>
              <w:rPr>
                <w:rFonts w:ascii="Arial" w:eastAsia="Times New Roman" w:hAnsi="Arial" w:cs="Arial"/>
                <w:color w:val="231F20"/>
                <w:lang w:eastAsia="en-GB"/>
              </w:rPr>
              <w:t>in the event that</w:t>
            </w:r>
            <w:proofErr w:type="gramEnd"/>
            <w:r>
              <w:rPr>
                <w:rFonts w:ascii="Arial" w:eastAsia="Times New Roman" w:hAnsi="Arial" w:cs="Arial"/>
                <w:color w:val="231F20"/>
                <w:lang w:eastAsia="en-GB"/>
              </w:rPr>
              <w:t xml:space="preserve"> it is </w:t>
            </w:r>
          </w:p>
          <w:p w14:paraId="128A556C" w14:textId="77777777" w:rsidR="00585E57" w:rsidRDefault="00585E57" w:rsidP="00C62286">
            <w:pPr>
              <w:spacing w:before="60" w:line="360" w:lineRule="auto"/>
              <w:ind w:left="284"/>
              <w:jc w:val="both"/>
              <w:rPr>
                <w:rFonts w:ascii="Arial" w:eastAsia="Times New Roman" w:hAnsi="Arial" w:cs="Arial"/>
                <w:color w:val="231F20"/>
                <w:lang w:eastAsia="en-GB"/>
              </w:rPr>
            </w:pPr>
            <w:r>
              <w:rPr>
                <w:rFonts w:ascii="Arial" w:eastAsia="Times New Roman" w:hAnsi="Arial" w:cs="Arial"/>
                <w:color w:val="231F20"/>
                <w:lang w:eastAsia="en-GB"/>
              </w:rPr>
              <w:t>inaccurate</w:t>
            </w:r>
          </w:p>
          <w:p w14:paraId="5FFBC847" w14:textId="77777777" w:rsidR="00585E57" w:rsidRDefault="00585E57" w:rsidP="00C62286">
            <w:pPr>
              <w:spacing w:before="60" w:line="360" w:lineRule="auto"/>
              <w:ind w:left="284"/>
              <w:jc w:val="both"/>
              <w:rPr>
                <w:rFonts w:ascii="Arial" w:eastAsia="Times New Roman" w:hAnsi="Arial" w:cs="Arial"/>
                <w:color w:val="231F20"/>
                <w:lang w:eastAsia="en-GB"/>
              </w:rPr>
            </w:pPr>
            <w:r>
              <w:rPr>
                <w:rFonts w:ascii="Arial" w:eastAsia="Times New Roman" w:hAnsi="Arial" w:cs="Arial"/>
                <w:color w:val="231F20"/>
                <w:lang w:eastAsia="en-GB"/>
              </w:rPr>
              <w:t>• To restrict or stop processing</w:t>
            </w:r>
          </w:p>
          <w:p w14:paraId="593F46E6" w14:textId="77777777" w:rsidR="00585E57" w:rsidRDefault="00585E57" w:rsidP="00C62286">
            <w:pPr>
              <w:spacing w:before="60" w:line="360" w:lineRule="auto"/>
              <w:ind w:left="284"/>
              <w:jc w:val="both"/>
              <w:rPr>
                <w:rFonts w:ascii="Arial" w:eastAsia="Times New Roman" w:hAnsi="Arial" w:cs="Arial"/>
                <w:color w:val="231F20"/>
                <w:lang w:eastAsia="en-GB"/>
              </w:rPr>
            </w:pPr>
            <w:r>
              <w:rPr>
                <w:rFonts w:ascii="Arial" w:eastAsia="Times New Roman" w:hAnsi="Arial" w:cs="Arial"/>
                <w:color w:val="231F20"/>
                <w:lang w:eastAsia="en-GB"/>
              </w:rPr>
              <w:t>• Object to it being processed or used (where we are relying on public task as the legal basis)</w:t>
            </w:r>
          </w:p>
          <w:p w14:paraId="30289FEC" w14:textId="51C87ED0" w:rsidR="00DB4F29" w:rsidRPr="00AD4CAF" w:rsidRDefault="00585E57" w:rsidP="00C62286">
            <w:pPr>
              <w:spacing w:line="360" w:lineRule="auto"/>
              <w:ind w:left="284"/>
              <w:rPr>
                <w:rFonts w:ascii="Arial" w:eastAsia="Times New Roman" w:hAnsi="Arial" w:cs="Arial"/>
                <w:color w:val="231F20"/>
                <w:lang w:eastAsia="en-GB"/>
              </w:rPr>
            </w:pPr>
            <w:r>
              <w:rPr>
                <w:rFonts w:ascii="Arial" w:eastAsia="Times New Roman" w:hAnsi="Arial" w:cs="Arial"/>
                <w:color w:val="231F20"/>
                <w:lang w:eastAsia="en-GB"/>
              </w:rPr>
              <w:t>• Not to be subject automated decision-taking or profiling</w:t>
            </w:r>
          </w:p>
        </w:tc>
      </w:tr>
      <w:tr w:rsidR="00DB4F29" w14:paraId="562F6B8A" w14:textId="77777777" w:rsidTr="00C62286">
        <w:tc>
          <w:tcPr>
            <w:tcW w:w="1838" w:type="dxa"/>
          </w:tcPr>
          <w:p w14:paraId="1215CB35" w14:textId="77777777" w:rsidR="00DB4F29" w:rsidRPr="00DA3EDA" w:rsidRDefault="00DB4F29">
            <w:pPr>
              <w:rPr>
                <w:rFonts w:ascii="Arial" w:hAnsi="Arial" w:cs="Arial"/>
                <w:b/>
              </w:rPr>
            </w:pPr>
            <w:r w:rsidRPr="00DA3EDA">
              <w:rPr>
                <w:rFonts w:ascii="Arial" w:hAnsi="Arial" w:cs="Arial"/>
                <w:b/>
              </w:rPr>
              <w:t>How long we will keep the information</w:t>
            </w:r>
          </w:p>
          <w:p w14:paraId="69216766" w14:textId="77777777" w:rsidR="00DB4F29" w:rsidRPr="00DA3EDA" w:rsidRDefault="00DB4F29">
            <w:pPr>
              <w:rPr>
                <w:rFonts w:ascii="Arial" w:hAnsi="Arial" w:cs="Arial"/>
                <w:b/>
              </w:rPr>
            </w:pPr>
          </w:p>
          <w:p w14:paraId="4188A845" w14:textId="77777777" w:rsidR="00DB4F29" w:rsidRPr="00DA3EDA" w:rsidRDefault="00DB4F29">
            <w:pPr>
              <w:rPr>
                <w:rFonts w:ascii="Arial" w:hAnsi="Arial" w:cs="Arial"/>
                <w:b/>
              </w:rPr>
            </w:pPr>
          </w:p>
        </w:tc>
        <w:tc>
          <w:tcPr>
            <w:tcW w:w="7178" w:type="dxa"/>
          </w:tcPr>
          <w:p w14:paraId="34BEF172" w14:textId="77777777" w:rsidR="00C94797" w:rsidRDefault="00585E57" w:rsidP="00C62286">
            <w:pPr>
              <w:spacing w:before="120" w:after="120" w:line="360" w:lineRule="auto"/>
              <w:jc w:val="both"/>
              <w:rPr>
                <w:rFonts w:ascii="Arial" w:eastAsia="Times New Roman" w:hAnsi="Arial" w:cs="Arial"/>
                <w:lang w:val="en" w:eastAsia="en-GB"/>
              </w:rPr>
            </w:pPr>
            <w:r>
              <w:rPr>
                <w:rFonts w:ascii="Arial" w:eastAsia="Times New Roman" w:hAnsi="Arial" w:cs="Arial"/>
                <w:lang w:val="en" w:eastAsia="en-GB"/>
              </w:rPr>
              <w:t>Your personal data will be retained on our systems and files in line with the Records Management Code of Practice 2021.</w:t>
            </w:r>
          </w:p>
          <w:p w14:paraId="05603073" w14:textId="58F11BA8" w:rsidR="00C44A0F" w:rsidRPr="00CB3444" w:rsidRDefault="00D94CFB" w:rsidP="00C62286">
            <w:pPr>
              <w:spacing w:before="120" w:after="120" w:line="360" w:lineRule="auto"/>
              <w:jc w:val="both"/>
              <w:rPr>
                <w:rFonts w:ascii="Arial" w:eastAsia="Times New Roman" w:hAnsi="Arial" w:cs="Arial"/>
                <w:lang w:val="en" w:eastAsia="en-GB"/>
              </w:rPr>
            </w:pPr>
            <w:hyperlink r:id="rId10" w:history="1">
              <w:r w:rsidR="00585E57">
                <w:rPr>
                  <w:rStyle w:val="Hyperlink"/>
                  <w:rFonts w:ascii="Arial" w:hAnsi="Arial" w:cs="Arial"/>
                  <w:color w:val="0000FF"/>
                </w:rPr>
                <w:t>Records Management Code of Practice - NHS Transformation Directorate (nhsx.nhs.uk)</w:t>
              </w:r>
            </w:hyperlink>
          </w:p>
        </w:tc>
      </w:tr>
      <w:tr w:rsidR="006C4322" w14:paraId="79C406D1" w14:textId="77777777" w:rsidTr="00C62286">
        <w:tc>
          <w:tcPr>
            <w:tcW w:w="1838" w:type="dxa"/>
          </w:tcPr>
          <w:p w14:paraId="5F0D0825" w14:textId="13B5DDC3" w:rsidR="006C4322" w:rsidRDefault="006C4322">
            <w:pPr>
              <w:rPr>
                <w:rFonts w:ascii="Arial" w:hAnsi="Arial" w:cs="Arial"/>
                <w:b/>
              </w:rPr>
            </w:pPr>
            <w:r>
              <w:rPr>
                <w:rFonts w:ascii="Arial" w:hAnsi="Arial" w:cs="Arial"/>
                <w:b/>
              </w:rPr>
              <w:t>Opt-Out</w:t>
            </w:r>
          </w:p>
          <w:p w14:paraId="669695EB" w14:textId="77777777" w:rsidR="006C4322" w:rsidRDefault="006C4322">
            <w:pPr>
              <w:rPr>
                <w:rFonts w:ascii="Arial" w:hAnsi="Arial" w:cs="Arial"/>
                <w:b/>
              </w:rPr>
            </w:pPr>
          </w:p>
          <w:p w14:paraId="46938D47" w14:textId="11FE5F31" w:rsidR="006C4322" w:rsidRPr="00DA3EDA" w:rsidRDefault="006C4322">
            <w:pPr>
              <w:rPr>
                <w:rFonts w:ascii="Arial" w:hAnsi="Arial" w:cs="Arial"/>
                <w:b/>
              </w:rPr>
            </w:pPr>
          </w:p>
        </w:tc>
        <w:tc>
          <w:tcPr>
            <w:tcW w:w="7178" w:type="dxa"/>
          </w:tcPr>
          <w:p w14:paraId="259FAD31" w14:textId="7A00836D" w:rsidR="006C4322" w:rsidRPr="00CB3444" w:rsidRDefault="00585E57" w:rsidP="00C62286">
            <w:pPr>
              <w:spacing w:before="100" w:beforeAutospacing="1" w:after="100" w:afterAutospacing="1" w:line="360" w:lineRule="auto"/>
              <w:rPr>
                <w:rFonts w:ascii="Arial" w:eastAsia="Times New Roman" w:hAnsi="Arial" w:cs="Arial"/>
                <w:lang w:val="en" w:eastAsia="en-GB"/>
              </w:rPr>
            </w:pPr>
            <w:r>
              <w:rPr>
                <w:rFonts w:ascii="Arial" w:eastAsia="Times New Roman" w:hAnsi="Arial" w:cs="Arial"/>
                <w:lang w:val="en" w:eastAsia="en-GB"/>
              </w:rPr>
              <w:t>N/A</w:t>
            </w:r>
          </w:p>
        </w:tc>
      </w:tr>
    </w:tbl>
    <w:p w14:paraId="743D7D13" w14:textId="77777777" w:rsidR="007E4B96" w:rsidRPr="007E4B96" w:rsidRDefault="007E4B96">
      <w:pPr>
        <w:rPr>
          <w:sz w:val="28"/>
          <w:szCs w:val="28"/>
        </w:rPr>
      </w:pPr>
    </w:p>
    <w:sectPr w:rsidR="007E4B96" w:rsidRPr="007E4B96" w:rsidSect="00F1565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EE16" w14:textId="77777777" w:rsidR="00740205" w:rsidRDefault="00740205" w:rsidP="007E4B96">
      <w:pPr>
        <w:spacing w:after="0" w:line="240" w:lineRule="auto"/>
      </w:pPr>
      <w:r>
        <w:separator/>
      </w:r>
    </w:p>
  </w:endnote>
  <w:endnote w:type="continuationSeparator" w:id="0">
    <w:p w14:paraId="0909F214" w14:textId="77777777" w:rsidR="00740205" w:rsidRDefault="00740205" w:rsidP="007E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AD79" w14:textId="6FFD8FC5" w:rsidR="00F15657" w:rsidRPr="00F606CF" w:rsidRDefault="00A4396D">
    <w:pPr>
      <w:pStyle w:val="Footer"/>
      <w:rPr>
        <w:rFonts w:ascii="Arial" w:hAnsi="Arial" w:cs="Arial"/>
        <w:sz w:val="16"/>
        <w:szCs w:val="16"/>
      </w:rPr>
    </w:pPr>
    <w:r>
      <w:rPr>
        <w:rFonts w:ascii="Arial" w:hAnsi="Arial" w:cs="Arial"/>
        <w:sz w:val="16"/>
        <w:szCs w:val="16"/>
      </w:rPr>
      <w:t xml:space="preserve">April 2024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C239" w14:textId="7F456028" w:rsidR="00F15657" w:rsidRPr="00F15657" w:rsidRDefault="00D94CFB">
    <w:pPr>
      <w:pStyle w:val="Footer"/>
      <w:rPr>
        <w:rFonts w:ascii="Arial" w:hAnsi="Arial" w:cs="Arial"/>
        <w:sz w:val="16"/>
        <w:szCs w:val="16"/>
      </w:rPr>
    </w:pPr>
    <w:r>
      <w:rPr>
        <w:rFonts w:ascii="Arial" w:hAnsi="Arial" w:cs="Arial"/>
        <w:sz w:val="16"/>
        <w:szCs w:val="16"/>
      </w:rPr>
      <w:t xml:space="preserve">V1.0 Final </w:t>
    </w:r>
    <w:r w:rsidR="00E064D5">
      <w:rPr>
        <w:rFonts w:ascii="Arial" w:hAnsi="Arial" w:cs="Arial"/>
        <w:sz w:val="16"/>
        <w:szCs w:val="16"/>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7E4F" w14:textId="77777777" w:rsidR="00740205" w:rsidRDefault="00740205" w:rsidP="007E4B96">
      <w:pPr>
        <w:spacing w:after="0" w:line="240" w:lineRule="auto"/>
      </w:pPr>
      <w:r>
        <w:separator/>
      </w:r>
    </w:p>
  </w:footnote>
  <w:footnote w:type="continuationSeparator" w:id="0">
    <w:p w14:paraId="666EF2DB" w14:textId="77777777" w:rsidR="00740205" w:rsidRDefault="00740205" w:rsidP="007E4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EC97" w14:textId="4F0027BA" w:rsidR="007E4B96" w:rsidRPr="00B106EF" w:rsidRDefault="007E4B96" w:rsidP="00B106E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0406" w14:textId="40F6E570" w:rsidR="00F15657" w:rsidRDefault="00F15657" w:rsidP="00F15657">
    <w:pPr>
      <w:pStyle w:val="Header"/>
      <w:jc w:val="right"/>
    </w:pPr>
    <w:r>
      <w:rPr>
        <w:noProof/>
      </w:rPr>
      <w:drawing>
        <wp:inline distT="0" distB="0" distL="0" distR="0" wp14:anchorId="5ACCD360" wp14:editId="7ED5F3F8">
          <wp:extent cx="2258060" cy="1492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060" cy="1492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7F3E"/>
    <w:multiLevelType w:val="hybridMultilevel"/>
    <w:tmpl w:val="972C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67E0D"/>
    <w:multiLevelType w:val="multilevel"/>
    <w:tmpl w:val="F78A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A3D82"/>
    <w:multiLevelType w:val="hybridMultilevel"/>
    <w:tmpl w:val="F50697E2"/>
    <w:lvl w:ilvl="0" w:tplc="8586DE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A4560"/>
    <w:multiLevelType w:val="multilevel"/>
    <w:tmpl w:val="9220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719C8"/>
    <w:multiLevelType w:val="multilevel"/>
    <w:tmpl w:val="A3EC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87B28"/>
    <w:multiLevelType w:val="hybridMultilevel"/>
    <w:tmpl w:val="0B8A3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C0943"/>
    <w:multiLevelType w:val="hybridMultilevel"/>
    <w:tmpl w:val="FFDE9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303F46"/>
    <w:multiLevelType w:val="hybridMultilevel"/>
    <w:tmpl w:val="421EC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270EE2"/>
    <w:multiLevelType w:val="hybridMultilevel"/>
    <w:tmpl w:val="5F500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F908C2"/>
    <w:multiLevelType w:val="multilevel"/>
    <w:tmpl w:val="3B5E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D61255"/>
    <w:multiLevelType w:val="multilevel"/>
    <w:tmpl w:val="AA0C0432"/>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418"/>
        </w:tabs>
        <w:ind w:left="1418"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974681524">
    <w:abstractNumId w:val="3"/>
  </w:num>
  <w:num w:numId="2" w16cid:durableId="125510687">
    <w:abstractNumId w:val="1"/>
  </w:num>
  <w:num w:numId="3" w16cid:durableId="1261570220">
    <w:abstractNumId w:val="2"/>
  </w:num>
  <w:num w:numId="4" w16cid:durableId="784345544">
    <w:abstractNumId w:val="5"/>
  </w:num>
  <w:num w:numId="5" w16cid:durableId="585727334">
    <w:abstractNumId w:val="7"/>
  </w:num>
  <w:num w:numId="6" w16cid:durableId="1314330096">
    <w:abstractNumId w:val="10"/>
  </w:num>
  <w:num w:numId="7" w16cid:durableId="1252356287">
    <w:abstractNumId w:val="6"/>
  </w:num>
  <w:num w:numId="8" w16cid:durableId="594821208">
    <w:abstractNumId w:val="4"/>
  </w:num>
  <w:num w:numId="9" w16cid:durableId="439760697">
    <w:abstractNumId w:val="8"/>
  </w:num>
  <w:num w:numId="10" w16cid:durableId="658534156">
    <w:abstractNumId w:val="9"/>
  </w:num>
  <w:num w:numId="11" w16cid:durableId="177280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96"/>
    <w:rsid w:val="00010682"/>
    <w:rsid w:val="00020709"/>
    <w:rsid w:val="00035F5C"/>
    <w:rsid w:val="000445E1"/>
    <w:rsid w:val="00063BC6"/>
    <w:rsid w:val="0009583B"/>
    <w:rsid w:val="000A1101"/>
    <w:rsid w:val="00117FEA"/>
    <w:rsid w:val="00150651"/>
    <w:rsid w:val="001E00EB"/>
    <w:rsid w:val="001F10AC"/>
    <w:rsid w:val="0023663D"/>
    <w:rsid w:val="002A3F05"/>
    <w:rsid w:val="002B5DA5"/>
    <w:rsid w:val="002E6FED"/>
    <w:rsid w:val="00315ECA"/>
    <w:rsid w:val="0035308E"/>
    <w:rsid w:val="003578AC"/>
    <w:rsid w:val="00360E61"/>
    <w:rsid w:val="00380C61"/>
    <w:rsid w:val="00383598"/>
    <w:rsid w:val="00383C64"/>
    <w:rsid w:val="003C134B"/>
    <w:rsid w:val="003C51DE"/>
    <w:rsid w:val="003E0021"/>
    <w:rsid w:val="004218BF"/>
    <w:rsid w:val="0044070F"/>
    <w:rsid w:val="004410B2"/>
    <w:rsid w:val="00461F2C"/>
    <w:rsid w:val="00484B65"/>
    <w:rsid w:val="004B1E51"/>
    <w:rsid w:val="0053071D"/>
    <w:rsid w:val="00566C6A"/>
    <w:rsid w:val="00572344"/>
    <w:rsid w:val="0057319A"/>
    <w:rsid w:val="00576AFD"/>
    <w:rsid w:val="00584AEF"/>
    <w:rsid w:val="00585713"/>
    <w:rsid w:val="00585E57"/>
    <w:rsid w:val="00587D02"/>
    <w:rsid w:val="005A2AEF"/>
    <w:rsid w:val="005B6637"/>
    <w:rsid w:val="00640795"/>
    <w:rsid w:val="006661B3"/>
    <w:rsid w:val="006A470A"/>
    <w:rsid w:val="006C4322"/>
    <w:rsid w:val="006C65EB"/>
    <w:rsid w:val="006F1071"/>
    <w:rsid w:val="006F77D2"/>
    <w:rsid w:val="00711CA8"/>
    <w:rsid w:val="00740205"/>
    <w:rsid w:val="00740B82"/>
    <w:rsid w:val="007450AC"/>
    <w:rsid w:val="0075433B"/>
    <w:rsid w:val="007565D7"/>
    <w:rsid w:val="007E4B96"/>
    <w:rsid w:val="007F5A34"/>
    <w:rsid w:val="008E47CA"/>
    <w:rsid w:val="008E47E6"/>
    <w:rsid w:val="008F2012"/>
    <w:rsid w:val="00902419"/>
    <w:rsid w:val="009613B8"/>
    <w:rsid w:val="00975D3C"/>
    <w:rsid w:val="00981E00"/>
    <w:rsid w:val="00991C38"/>
    <w:rsid w:val="00992CF4"/>
    <w:rsid w:val="009B654E"/>
    <w:rsid w:val="009D147A"/>
    <w:rsid w:val="00A25D05"/>
    <w:rsid w:val="00A353CD"/>
    <w:rsid w:val="00A4396D"/>
    <w:rsid w:val="00A66697"/>
    <w:rsid w:val="00A715B5"/>
    <w:rsid w:val="00AB0B1D"/>
    <w:rsid w:val="00AB174A"/>
    <w:rsid w:val="00AD4CAF"/>
    <w:rsid w:val="00B0208A"/>
    <w:rsid w:val="00B106EF"/>
    <w:rsid w:val="00B32DF7"/>
    <w:rsid w:val="00B72495"/>
    <w:rsid w:val="00BA064D"/>
    <w:rsid w:val="00BB56E7"/>
    <w:rsid w:val="00C004E7"/>
    <w:rsid w:val="00C30061"/>
    <w:rsid w:val="00C31054"/>
    <w:rsid w:val="00C44A0F"/>
    <w:rsid w:val="00C62286"/>
    <w:rsid w:val="00C6387A"/>
    <w:rsid w:val="00C746B1"/>
    <w:rsid w:val="00C94797"/>
    <w:rsid w:val="00CB3444"/>
    <w:rsid w:val="00CC3CD1"/>
    <w:rsid w:val="00CD6BD8"/>
    <w:rsid w:val="00CF6EAE"/>
    <w:rsid w:val="00CF785B"/>
    <w:rsid w:val="00D508CB"/>
    <w:rsid w:val="00D573BF"/>
    <w:rsid w:val="00D6333E"/>
    <w:rsid w:val="00D94CFB"/>
    <w:rsid w:val="00DA3296"/>
    <w:rsid w:val="00DA3EDA"/>
    <w:rsid w:val="00DB4F29"/>
    <w:rsid w:val="00DC0E91"/>
    <w:rsid w:val="00DD50D2"/>
    <w:rsid w:val="00DE5CA8"/>
    <w:rsid w:val="00DE6FE8"/>
    <w:rsid w:val="00E05844"/>
    <w:rsid w:val="00E064D5"/>
    <w:rsid w:val="00E37809"/>
    <w:rsid w:val="00EC0C6E"/>
    <w:rsid w:val="00EC431D"/>
    <w:rsid w:val="00ED6288"/>
    <w:rsid w:val="00EE049C"/>
    <w:rsid w:val="00EF7CCD"/>
    <w:rsid w:val="00F15657"/>
    <w:rsid w:val="00F606CF"/>
    <w:rsid w:val="00F9582A"/>
    <w:rsid w:val="00FC20AF"/>
    <w:rsid w:val="00FF2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3411"/>
  <w15:docId w15:val="{0976CFA7-DDEF-44B0-B45E-BBDAC638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4410B2"/>
    <w:pPr>
      <w:keepNext/>
      <w:numPr>
        <w:numId w:val="6"/>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4410B2"/>
    <w:pPr>
      <w:numPr>
        <w:ilvl w:val="1"/>
        <w:numId w:val="6"/>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4410B2"/>
    <w:pPr>
      <w:numPr>
        <w:ilvl w:val="2"/>
        <w:numId w:val="6"/>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4410B2"/>
    <w:pPr>
      <w:numPr>
        <w:ilvl w:val="3"/>
        <w:numId w:val="6"/>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4410B2"/>
    <w:pPr>
      <w:numPr>
        <w:ilvl w:val="4"/>
        <w:numId w:val="6"/>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B96"/>
  </w:style>
  <w:style w:type="paragraph" w:styleId="Footer">
    <w:name w:val="footer"/>
    <w:basedOn w:val="Normal"/>
    <w:link w:val="FooterChar"/>
    <w:uiPriority w:val="99"/>
    <w:unhideWhenUsed/>
    <w:rsid w:val="007E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B96"/>
  </w:style>
  <w:style w:type="paragraph" w:styleId="BalloonText">
    <w:name w:val="Balloon Text"/>
    <w:basedOn w:val="Normal"/>
    <w:link w:val="BalloonTextChar"/>
    <w:uiPriority w:val="99"/>
    <w:semiHidden/>
    <w:unhideWhenUsed/>
    <w:rsid w:val="007E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B96"/>
    <w:rPr>
      <w:rFonts w:ascii="Tahoma" w:hAnsi="Tahoma" w:cs="Tahoma"/>
      <w:sz w:val="16"/>
      <w:szCs w:val="16"/>
    </w:rPr>
  </w:style>
  <w:style w:type="table" w:styleId="TableGrid">
    <w:name w:val="Table Grid"/>
    <w:basedOn w:val="TableNormal"/>
    <w:uiPriority w:val="59"/>
    <w:rsid w:val="007E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A0F"/>
    <w:rPr>
      <w:color w:val="0000FF" w:themeColor="hyperlink"/>
      <w:u w:val="single"/>
    </w:rPr>
  </w:style>
  <w:style w:type="character" w:styleId="CommentReference">
    <w:name w:val="annotation reference"/>
    <w:basedOn w:val="DefaultParagraphFont"/>
    <w:uiPriority w:val="99"/>
    <w:semiHidden/>
    <w:unhideWhenUsed/>
    <w:rsid w:val="00461F2C"/>
    <w:rPr>
      <w:sz w:val="16"/>
      <w:szCs w:val="16"/>
    </w:rPr>
  </w:style>
  <w:style w:type="paragraph" w:styleId="CommentText">
    <w:name w:val="annotation text"/>
    <w:basedOn w:val="Normal"/>
    <w:link w:val="CommentTextChar"/>
    <w:uiPriority w:val="99"/>
    <w:unhideWhenUsed/>
    <w:rsid w:val="00461F2C"/>
    <w:pPr>
      <w:spacing w:line="240" w:lineRule="auto"/>
    </w:pPr>
    <w:rPr>
      <w:sz w:val="20"/>
      <w:szCs w:val="20"/>
    </w:rPr>
  </w:style>
  <w:style w:type="character" w:customStyle="1" w:styleId="CommentTextChar">
    <w:name w:val="Comment Text Char"/>
    <w:basedOn w:val="DefaultParagraphFont"/>
    <w:link w:val="CommentText"/>
    <w:uiPriority w:val="99"/>
    <w:rsid w:val="00461F2C"/>
    <w:rPr>
      <w:sz w:val="20"/>
      <w:szCs w:val="20"/>
    </w:rPr>
  </w:style>
  <w:style w:type="paragraph" w:styleId="CommentSubject">
    <w:name w:val="annotation subject"/>
    <w:basedOn w:val="CommentText"/>
    <w:next w:val="CommentText"/>
    <w:link w:val="CommentSubjectChar"/>
    <w:uiPriority w:val="99"/>
    <w:semiHidden/>
    <w:unhideWhenUsed/>
    <w:rsid w:val="00461F2C"/>
    <w:rPr>
      <w:b/>
      <w:bCs/>
    </w:rPr>
  </w:style>
  <w:style w:type="character" w:customStyle="1" w:styleId="CommentSubjectChar">
    <w:name w:val="Comment Subject Char"/>
    <w:basedOn w:val="CommentTextChar"/>
    <w:link w:val="CommentSubject"/>
    <w:uiPriority w:val="99"/>
    <w:semiHidden/>
    <w:rsid w:val="00461F2C"/>
    <w:rPr>
      <w:b/>
      <w:bCs/>
      <w:sz w:val="20"/>
      <w:szCs w:val="20"/>
    </w:rPr>
  </w:style>
  <w:style w:type="paragraph" w:styleId="ListParagraph">
    <w:name w:val="List Paragraph"/>
    <w:basedOn w:val="Normal"/>
    <w:uiPriority w:val="34"/>
    <w:qFormat/>
    <w:rsid w:val="006F1071"/>
    <w:pPr>
      <w:ind w:left="720"/>
      <w:contextualSpacing/>
    </w:pPr>
  </w:style>
  <w:style w:type="character" w:styleId="UnresolvedMention">
    <w:name w:val="Unresolved Mention"/>
    <w:basedOn w:val="DefaultParagraphFont"/>
    <w:uiPriority w:val="99"/>
    <w:semiHidden/>
    <w:unhideWhenUsed/>
    <w:rsid w:val="00DC0E91"/>
    <w:rPr>
      <w:color w:val="605E5C"/>
      <w:shd w:val="clear" w:color="auto" w:fill="E1DFDD"/>
    </w:rPr>
  </w:style>
  <w:style w:type="paragraph" w:customStyle="1" w:styleId="Default">
    <w:name w:val="Default"/>
    <w:rsid w:val="00576AF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4410B2"/>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4410B2"/>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4410B2"/>
    <w:rPr>
      <w:rFonts w:ascii="Times New Roman" w:eastAsia="Times New Roman" w:hAnsi="Times New Roman" w:cs="Times New Roman"/>
      <w:szCs w:val="20"/>
    </w:rPr>
  </w:style>
  <w:style w:type="character" w:customStyle="1" w:styleId="Heading4Char">
    <w:name w:val="Heading 4 Char"/>
    <w:basedOn w:val="DefaultParagraphFont"/>
    <w:link w:val="Heading4"/>
    <w:rsid w:val="004410B2"/>
    <w:rPr>
      <w:rFonts w:ascii="Times New Roman" w:eastAsia="Times New Roman" w:hAnsi="Times New Roman" w:cs="Times New Roman"/>
      <w:szCs w:val="20"/>
    </w:rPr>
  </w:style>
  <w:style w:type="character" w:customStyle="1" w:styleId="Heading5Char">
    <w:name w:val="Heading 5 Char"/>
    <w:basedOn w:val="DefaultParagraphFont"/>
    <w:link w:val="Heading5"/>
    <w:rsid w:val="004410B2"/>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F9582A"/>
    <w:rPr>
      <w:color w:val="800080" w:themeColor="followedHyperlink"/>
      <w:u w:val="single"/>
    </w:rPr>
  </w:style>
  <w:style w:type="paragraph" w:styleId="NormalWeb">
    <w:name w:val="Normal (Web)"/>
    <w:basedOn w:val="Normal"/>
    <w:uiPriority w:val="99"/>
    <w:unhideWhenUsed/>
    <w:rsid w:val="008F20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0539">
      <w:bodyDiv w:val="1"/>
      <w:marLeft w:val="0"/>
      <w:marRight w:val="0"/>
      <w:marTop w:val="0"/>
      <w:marBottom w:val="0"/>
      <w:divBdr>
        <w:top w:val="none" w:sz="0" w:space="0" w:color="auto"/>
        <w:left w:val="none" w:sz="0" w:space="0" w:color="auto"/>
        <w:bottom w:val="none" w:sz="0" w:space="0" w:color="auto"/>
        <w:right w:val="none" w:sz="0" w:space="0" w:color="auto"/>
      </w:divBdr>
    </w:div>
    <w:div w:id="567885155">
      <w:bodyDiv w:val="1"/>
      <w:marLeft w:val="0"/>
      <w:marRight w:val="0"/>
      <w:marTop w:val="0"/>
      <w:marBottom w:val="0"/>
      <w:divBdr>
        <w:top w:val="none" w:sz="0" w:space="0" w:color="auto"/>
        <w:left w:val="none" w:sz="0" w:space="0" w:color="auto"/>
        <w:bottom w:val="none" w:sz="0" w:space="0" w:color="auto"/>
        <w:right w:val="none" w:sz="0" w:space="0" w:color="auto"/>
      </w:divBdr>
    </w:div>
    <w:div w:id="621764057">
      <w:bodyDiv w:val="1"/>
      <w:marLeft w:val="0"/>
      <w:marRight w:val="0"/>
      <w:marTop w:val="0"/>
      <w:marBottom w:val="0"/>
      <w:divBdr>
        <w:top w:val="none" w:sz="0" w:space="0" w:color="auto"/>
        <w:left w:val="none" w:sz="0" w:space="0" w:color="auto"/>
        <w:bottom w:val="none" w:sz="0" w:space="0" w:color="auto"/>
        <w:right w:val="none" w:sz="0" w:space="0" w:color="auto"/>
      </w:divBdr>
    </w:div>
    <w:div w:id="658265782">
      <w:bodyDiv w:val="1"/>
      <w:marLeft w:val="0"/>
      <w:marRight w:val="0"/>
      <w:marTop w:val="0"/>
      <w:marBottom w:val="0"/>
      <w:divBdr>
        <w:top w:val="none" w:sz="0" w:space="0" w:color="auto"/>
        <w:left w:val="none" w:sz="0" w:space="0" w:color="auto"/>
        <w:bottom w:val="none" w:sz="0" w:space="0" w:color="auto"/>
        <w:right w:val="none" w:sz="0" w:space="0" w:color="auto"/>
      </w:divBdr>
    </w:div>
    <w:div w:id="723479878">
      <w:bodyDiv w:val="1"/>
      <w:marLeft w:val="0"/>
      <w:marRight w:val="0"/>
      <w:marTop w:val="0"/>
      <w:marBottom w:val="0"/>
      <w:divBdr>
        <w:top w:val="none" w:sz="0" w:space="0" w:color="auto"/>
        <w:left w:val="none" w:sz="0" w:space="0" w:color="auto"/>
        <w:bottom w:val="none" w:sz="0" w:space="0" w:color="auto"/>
        <w:right w:val="none" w:sz="0" w:space="0" w:color="auto"/>
      </w:divBdr>
    </w:div>
    <w:div w:id="1059089664">
      <w:bodyDiv w:val="1"/>
      <w:marLeft w:val="0"/>
      <w:marRight w:val="0"/>
      <w:marTop w:val="0"/>
      <w:marBottom w:val="0"/>
      <w:divBdr>
        <w:top w:val="none" w:sz="0" w:space="0" w:color="auto"/>
        <w:left w:val="none" w:sz="0" w:space="0" w:color="auto"/>
        <w:bottom w:val="none" w:sz="0" w:space="0" w:color="auto"/>
        <w:right w:val="none" w:sz="0" w:space="0" w:color="auto"/>
      </w:divBdr>
    </w:div>
    <w:div w:id="1114323591">
      <w:bodyDiv w:val="1"/>
      <w:marLeft w:val="0"/>
      <w:marRight w:val="0"/>
      <w:marTop w:val="0"/>
      <w:marBottom w:val="0"/>
      <w:divBdr>
        <w:top w:val="none" w:sz="0" w:space="0" w:color="auto"/>
        <w:left w:val="none" w:sz="0" w:space="0" w:color="auto"/>
        <w:bottom w:val="none" w:sz="0" w:space="0" w:color="auto"/>
        <w:right w:val="none" w:sz="0" w:space="0" w:color="auto"/>
      </w:divBdr>
    </w:div>
    <w:div w:id="1127047899">
      <w:bodyDiv w:val="1"/>
      <w:marLeft w:val="0"/>
      <w:marRight w:val="0"/>
      <w:marTop w:val="0"/>
      <w:marBottom w:val="0"/>
      <w:divBdr>
        <w:top w:val="none" w:sz="0" w:space="0" w:color="auto"/>
        <w:left w:val="none" w:sz="0" w:space="0" w:color="auto"/>
        <w:bottom w:val="none" w:sz="0" w:space="0" w:color="auto"/>
        <w:right w:val="none" w:sz="0" w:space="0" w:color="auto"/>
      </w:divBdr>
    </w:div>
    <w:div w:id="1271086965">
      <w:bodyDiv w:val="1"/>
      <w:marLeft w:val="0"/>
      <w:marRight w:val="0"/>
      <w:marTop w:val="0"/>
      <w:marBottom w:val="0"/>
      <w:divBdr>
        <w:top w:val="none" w:sz="0" w:space="0" w:color="auto"/>
        <w:left w:val="none" w:sz="0" w:space="0" w:color="auto"/>
        <w:bottom w:val="none" w:sz="0" w:space="0" w:color="auto"/>
        <w:right w:val="none" w:sz="0" w:space="0" w:color="auto"/>
      </w:divBdr>
    </w:div>
    <w:div w:id="1271355120">
      <w:bodyDiv w:val="1"/>
      <w:marLeft w:val="0"/>
      <w:marRight w:val="0"/>
      <w:marTop w:val="0"/>
      <w:marBottom w:val="0"/>
      <w:divBdr>
        <w:top w:val="none" w:sz="0" w:space="0" w:color="auto"/>
        <w:left w:val="none" w:sz="0" w:space="0" w:color="auto"/>
        <w:bottom w:val="none" w:sz="0" w:space="0" w:color="auto"/>
        <w:right w:val="none" w:sz="0" w:space="0" w:color="auto"/>
      </w:divBdr>
    </w:div>
    <w:div w:id="1581982324">
      <w:bodyDiv w:val="1"/>
      <w:marLeft w:val="0"/>
      <w:marRight w:val="0"/>
      <w:marTop w:val="0"/>
      <w:marBottom w:val="0"/>
      <w:divBdr>
        <w:top w:val="none" w:sz="0" w:space="0" w:color="auto"/>
        <w:left w:val="none" w:sz="0" w:space="0" w:color="auto"/>
        <w:bottom w:val="none" w:sz="0" w:space="0" w:color="auto"/>
        <w:right w:val="none" w:sz="0" w:space="0" w:color="auto"/>
      </w:divBdr>
    </w:div>
    <w:div w:id="1938293767">
      <w:bodyDiv w:val="1"/>
      <w:marLeft w:val="0"/>
      <w:marRight w:val="0"/>
      <w:marTop w:val="0"/>
      <w:marBottom w:val="0"/>
      <w:divBdr>
        <w:top w:val="none" w:sz="0" w:space="0" w:color="auto"/>
        <w:left w:val="none" w:sz="0" w:space="0" w:color="auto"/>
        <w:bottom w:val="none" w:sz="0" w:space="0" w:color="auto"/>
        <w:right w:val="none" w:sz="0" w:space="0" w:color="auto"/>
      </w:divBdr>
    </w:div>
    <w:div w:id="2022464004">
      <w:bodyDiv w:val="1"/>
      <w:marLeft w:val="0"/>
      <w:marRight w:val="0"/>
      <w:marTop w:val="0"/>
      <w:marBottom w:val="0"/>
      <w:divBdr>
        <w:top w:val="none" w:sz="0" w:space="0" w:color="auto"/>
        <w:left w:val="none" w:sz="0" w:space="0" w:color="auto"/>
        <w:bottom w:val="none" w:sz="0" w:space="0" w:color="auto"/>
        <w:right w:val="none" w:sz="0" w:space="0" w:color="auto"/>
      </w:divBdr>
    </w:div>
    <w:div w:id="21108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shire.gov.uk/care/health-and-wellbeing/childrens-commission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x.nhs.uk/information-governance/guidance/records-management-code/" TargetMode="External"/><Relationship Id="rId4" Type="http://schemas.openxmlformats.org/officeDocument/2006/relationships/settings" Target="settings.xml"/><Relationship Id="rId9" Type="http://schemas.openxmlformats.org/officeDocument/2006/relationships/hyperlink" Target="https://gdpr-info.eu/art-9-gdp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30FC-949F-4ADD-83A8-81FF71E4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jackbro</dc:creator>
  <cp:lastModifiedBy>JACKSON, Bronwyn (NHS NOTTINGHAM AND NOTTINGHAMSHIRE ICB - 52R)</cp:lastModifiedBy>
  <cp:revision>3</cp:revision>
  <dcterms:created xsi:type="dcterms:W3CDTF">2024-04-30T12:31:00Z</dcterms:created>
  <dcterms:modified xsi:type="dcterms:W3CDTF">2024-05-07T16:39:00Z</dcterms:modified>
</cp:coreProperties>
</file>