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C2293E" w14:textId="18B46FAF" w:rsidR="001247C3" w:rsidRDefault="001247C3" w:rsidP="000070DD">
      <w:pPr>
        <w:spacing w:after="0"/>
        <w:ind w:firstLine="720"/>
        <w:rPr>
          <w:b/>
          <w:bCs/>
          <w:sz w:val="48"/>
          <w:szCs w:val="48"/>
        </w:rPr>
      </w:pPr>
      <w:r>
        <w:rPr>
          <w:b/>
          <w:bCs/>
          <w:sz w:val="48"/>
          <w:szCs w:val="48"/>
        </w:rPr>
        <w:t>Nottingham &amp; Nottinghamshire ICB</w:t>
      </w:r>
    </w:p>
    <w:p w14:paraId="43881762" w14:textId="4A49F829" w:rsidR="003708C8" w:rsidRPr="000458A0" w:rsidRDefault="00172380" w:rsidP="001247C3">
      <w:pPr>
        <w:spacing w:after="0"/>
        <w:jc w:val="center"/>
        <w:rPr>
          <w:b/>
          <w:bCs/>
          <w:sz w:val="48"/>
          <w:szCs w:val="48"/>
        </w:rPr>
      </w:pPr>
      <w:r w:rsidRPr="000458A0">
        <w:rPr>
          <w:b/>
          <w:bCs/>
          <w:sz w:val="48"/>
          <w:szCs w:val="48"/>
        </w:rPr>
        <w:t>Joint capital resource use p</w:t>
      </w:r>
      <w:r w:rsidR="003F265B" w:rsidRPr="000458A0">
        <w:rPr>
          <w:b/>
          <w:bCs/>
          <w:sz w:val="48"/>
          <w:szCs w:val="48"/>
        </w:rPr>
        <w:t>lan – 202</w:t>
      </w:r>
      <w:r w:rsidR="000458A0" w:rsidRPr="000458A0">
        <w:rPr>
          <w:b/>
          <w:bCs/>
          <w:sz w:val="48"/>
          <w:szCs w:val="48"/>
        </w:rPr>
        <w:t>5</w:t>
      </w:r>
      <w:r w:rsidR="003F265B" w:rsidRPr="000458A0">
        <w:rPr>
          <w:b/>
          <w:bCs/>
          <w:sz w:val="48"/>
          <w:szCs w:val="48"/>
        </w:rPr>
        <w:t>/2</w:t>
      </w:r>
      <w:r w:rsidR="000458A0" w:rsidRPr="000458A0">
        <w:rPr>
          <w:b/>
          <w:bCs/>
          <w:sz w:val="48"/>
          <w:szCs w:val="48"/>
        </w:rPr>
        <w:t>6</w:t>
      </w:r>
    </w:p>
    <w:tbl>
      <w:tblPr>
        <w:tblStyle w:val="TableGrid"/>
        <w:tblW w:w="949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493"/>
      </w:tblGrid>
      <w:tr w:rsidR="000458A0" w:rsidRPr="000458A0" w14:paraId="6EF5516B" w14:textId="77777777" w:rsidTr="00960987">
        <w:trPr>
          <w:trHeight w:val="605"/>
        </w:trPr>
        <w:tc>
          <w:tcPr>
            <w:tcW w:w="9493" w:type="dxa"/>
            <w:shd w:val="clear" w:color="auto" w:fill="2F5496" w:themeFill="accent1" w:themeFillShade="BF"/>
            <w:vAlign w:val="center"/>
          </w:tcPr>
          <w:p w14:paraId="7F892F44" w14:textId="1E033D05" w:rsidR="004F142A" w:rsidRPr="000458A0" w:rsidRDefault="00645320" w:rsidP="003708C8">
            <w:pPr>
              <w:rPr>
                <w:b/>
                <w:bCs/>
                <w:color w:val="F2F2F2" w:themeColor="background1" w:themeShade="F2"/>
                <w:sz w:val="24"/>
                <w:szCs w:val="24"/>
              </w:rPr>
            </w:pPr>
            <w:r w:rsidRPr="000458A0">
              <w:rPr>
                <w:b/>
                <w:bCs/>
                <w:color w:val="F2F2F2" w:themeColor="background1" w:themeShade="F2"/>
                <w:sz w:val="24"/>
                <w:szCs w:val="24"/>
              </w:rPr>
              <w:t>Introduction</w:t>
            </w:r>
          </w:p>
          <w:p w14:paraId="3FB3C765" w14:textId="7E20D655" w:rsidR="004F142A" w:rsidRPr="000458A0" w:rsidRDefault="004F142A" w:rsidP="00957D4A">
            <w:pPr>
              <w:rPr>
                <w:i/>
                <w:iCs/>
                <w:color w:val="FF0000"/>
                <w:sz w:val="18"/>
                <w:szCs w:val="18"/>
              </w:rPr>
            </w:pPr>
          </w:p>
        </w:tc>
      </w:tr>
      <w:tr w:rsidR="000458A0" w:rsidRPr="000458A0" w14:paraId="1367A938" w14:textId="77777777" w:rsidTr="00960987">
        <w:trPr>
          <w:trHeight w:val="872"/>
        </w:trPr>
        <w:tc>
          <w:tcPr>
            <w:tcW w:w="9493" w:type="dxa"/>
            <w:shd w:val="clear" w:color="auto" w:fill="FFFFFF" w:themeFill="background1"/>
          </w:tcPr>
          <w:p w14:paraId="706D3FF6" w14:textId="0CBD9B13" w:rsidR="00CC0241" w:rsidRPr="00C44A42" w:rsidRDefault="003E1F2F" w:rsidP="0061200D">
            <w:pPr>
              <w:rPr>
                <w:rFonts w:ascii="Calibri" w:hAnsi="Calibri" w:cs="Calibri"/>
                <w:sz w:val="24"/>
                <w:szCs w:val="24"/>
              </w:rPr>
            </w:pPr>
            <w:r w:rsidRPr="00C44A42">
              <w:rPr>
                <w:rFonts w:ascii="Calibri" w:hAnsi="Calibri" w:cs="Calibri"/>
                <w:sz w:val="24"/>
                <w:szCs w:val="24"/>
              </w:rPr>
              <w:t xml:space="preserve">The ICS has been working within a system-wide capital envelope since </w:t>
            </w:r>
            <w:r w:rsidR="00EF5031" w:rsidRPr="00C44A42">
              <w:rPr>
                <w:rFonts w:ascii="Calibri" w:hAnsi="Calibri" w:cs="Calibri"/>
                <w:sz w:val="24"/>
                <w:szCs w:val="24"/>
              </w:rPr>
              <w:t>2020/21</w:t>
            </w:r>
            <w:r w:rsidRPr="00C44A42">
              <w:rPr>
                <w:rFonts w:ascii="Calibri" w:hAnsi="Calibri" w:cs="Calibri"/>
                <w:sz w:val="24"/>
                <w:szCs w:val="24"/>
              </w:rPr>
              <w:t xml:space="preserve">. </w:t>
            </w:r>
            <w:r w:rsidR="003A4A4B" w:rsidRPr="00C44A42">
              <w:rPr>
                <w:rFonts w:ascii="Calibri" w:hAnsi="Calibri" w:cs="Calibri"/>
                <w:sz w:val="24"/>
                <w:szCs w:val="24"/>
              </w:rPr>
              <w:t>T</w:t>
            </w:r>
            <w:r w:rsidRPr="00C44A42">
              <w:rPr>
                <w:rFonts w:ascii="Calibri" w:hAnsi="Calibri" w:cs="Calibri"/>
                <w:sz w:val="24"/>
                <w:szCs w:val="24"/>
              </w:rPr>
              <w:t xml:space="preserve">he ICS </w:t>
            </w:r>
            <w:r w:rsidR="003A4A4B" w:rsidRPr="00C44A42">
              <w:rPr>
                <w:rFonts w:ascii="Calibri" w:hAnsi="Calibri" w:cs="Calibri"/>
                <w:sz w:val="24"/>
                <w:szCs w:val="24"/>
              </w:rPr>
              <w:t xml:space="preserve">is </w:t>
            </w:r>
            <w:r w:rsidRPr="00C44A42">
              <w:rPr>
                <w:rFonts w:ascii="Calibri" w:hAnsi="Calibri" w:cs="Calibri"/>
                <w:sz w:val="24"/>
                <w:szCs w:val="24"/>
              </w:rPr>
              <w:t>provided with a</w:t>
            </w:r>
            <w:r w:rsidR="003A4A4B" w:rsidRPr="00C44A42">
              <w:rPr>
                <w:rFonts w:ascii="Calibri" w:hAnsi="Calibri" w:cs="Calibri"/>
                <w:sz w:val="24"/>
                <w:szCs w:val="24"/>
              </w:rPr>
              <w:t>n annual</w:t>
            </w:r>
            <w:r w:rsidRPr="00C44A42">
              <w:rPr>
                <w:rFonts w:ascii="Calibri" w:hAnsi="Calibri" w:cs="Calibri"/>
                <w:sz w:val="24"/>
                <w:szCs w:val="24"/>
              </w:rPr>
              <w:t xml:space="preserve"> capital resource envelope for use across the 3 provider organisations </w:t>
            </w:r>
            <w:r w:rsidR="005D4129" w:rsidRPr="00C44A42">
              <w:rPr>
                <w:rFonts w:ascii="Calibri" w:hAnsi="Calibri" w:cs="Calibri"/>
                <w:sz w:val="24"/>
                <w:szCs w:val="24"/>
              </w:rPr>
              <w:t xml:space="preserve">(Nottingham University Hospitals, Sherwood Forest Hospitals and Nottinghamshire Healthcare), </w:t>
            </w:r>
            <w:r w:rsidRPr="00C44A42">
              <w:rPr>
                <w:rFonts w:ascii="Calibri" w:hAnsi="Calibri" w:cs="Calibri"/>
                <w:sz w:val="24"/>
                <w:szCs w:val="24"/>
              </w:rPr>
              <w:t>and is expected to plan and deliver capital expenditure within available resources.</w:t>
            </w:r>
          </w:p>
          <w:p w14:paraId="59FE24E4" w14:textId="77777777" w:rsidR="00775265" w:rsidRPr="00C44A42" w:rsidRDefault="00775265" w:rsidP="0061200D">
            <w:pPr>
              <w:rPr>
                <w:rFonts w:ascii="Calibri" w:hAnsi="Calibri" w:cs="Calibri"/>
                <w:sz w:val="24"/>
                <w:szCs w:val="24"/>
              </w:rPr>
            </w:pPr>
          </w:p>
          <w:p w14:paraId="1C7C708E" w14:textId="1057E9A1" w:rsidR="008F21FD" w:rsidRPr="00C44A42" w:rsidRDefault="008F21FD" w:rsidP="0061200D">
            <w:pPr>
              <w:rPr>
                <w:rFonts w:ascii="Calibri" w:hAnsi="Calibri" w:cs="Calibri"/>
                <w:sz w:val="24"/>
                <w:szCs w:val="24"/>
              </w:rPr>
            </w:pPr>
            <w:r w:rsidRPr="00C44A42">
              <w:rPr>
                <w:rFonts w:ascii="Calibri" w:hAnsi="Calibri" w:cs="Calibri"/>
                <w:sz w:val="24"/>
                <w:szCs w:val="24"/>
              </w:rPr>
              <w:t xml:space="preserve">The Nottinghamshire estate contains a mixture of </w:t>
            </w:r>
            <w:r w:rsidR="00EF5031" w:rsidRPr="00C44A42">
              <w:rPr>
                <w:rFonts w:ascii="Calibri" w:hAnsi="Calibri" w:cs="Calibri"/>
                <w:sz w:val="24"/>
                <w:szCs w:val="24"/>
              </w:rPr>
              <w:t>older poor condition building and newer estate. The older estate, notably at Queens Medical Centre</w:t>
            </w:r>
            <w:r w:rsidR="00C32FC7" w:rsidRPr="00C44A42">
              <w:rPr>
                <w:rFonts w:ascii="Calibri" w:hAnsi="Calibri" w:cs="Calibri"/>
                <w:sz w:val="24"/>
                <w:szCs w:val="24"/>
              </w:rPr>
              <w:t>,</w:t>
            </w:r>
            <w:r w:rsidR="00EF5031" w:rsidRPr="00C44A42">
              <w:rPr>
                <w:rFonts w:ascii="Calibri" w:hAnsi="Calibri" w:cs="Calibri"/>
                <w:sz w:val="24"/>
                <w:szCs w:val="24"/>
              </w:rPr>
              <w:t xml:space="preserve"> Nottingham City Hospital</w:t>
            </w:r>
            <w:r w:rsidR="00C32FC7" w:rsidRPr="00C44A42">
              <w:rPr>
                <w:rFonts w:ascii="Calibri" w:hAnsi="Calibri" w:cs="Calibri"/>
                <w:sz w:val="24"/>
                <w:szCs w:val="24"/>
              </w:rPr>
              <w:t xml:space="preserve"> and Rampton Hospital</w:t>
            </w:r>
            <w:r w:rsidR="00EF5031" w:rsidRPr="00C44A42">
              <w:rPr>
                <w:rFonts w:ascii="Calibri" w:hAnsi="Calibri" w:cs="Calibri"/>
                <w:sz w:val="24"/>
                <w:szCs w:val="24"/>
              </w:rPr>
              <w:t xml:space="preserve">, requires extensive maintenance and as such, the system is recognised as having one of the highest backlog maintenance requirements in the country. </w:t>
            </w:r>
          </w:p>
          <w:p w14:paraId="524345FD" w14:textId="77777777" w:rsidR="008F21FD" w:rsidRPr="00C44A42" w:rsidRDefault="008F21FD" w:rsidP="0061200D">
            <w:pPr>
              <w:rPr>
                <w:rFonts w:ascii="Calibri" w:hAnsi="Calibri" w:cs="Calibri"/>
                <w:sz w:val="24"/>
                <w:szCs w:val="24"/>
              </w:rPr>
            </w:pPr>
          </w:p>
          <w:p w14:paraId="6661C2F1" w14:textId="77777777" w:rsidR="00EF5031" w:rsidRPr="00C44A42" w:rsidRDefault="00EF5031" w:rsidP="0061200D">
            <w:pPr>
              <w:rPr>
                <w:rFonts w:ascii="Calibri" w:hAnsi="Calibri" w:cs="Calibri"/>
                <w:sz w:val="24"/>
                <w:szCs w:val="24"/>
              </w:rPr>
            </w:pPr>
            <w:r w:rsidRPr="00C44A42">
              <w:rPr>
                <w:rFonts w:ascii="Calibri" w:hAnsi="Calibri" w:cs="Calibri"/>
                <w:sz w:val="24"/>
                <w:szCs w:val="24"/>
              </w:rPr>
              <w:t xml:space="preserve">Coupled with capital required to support service continuity pressures and strategic priorities the </w:t>
            </w:r>
            <w:r w:rsidR="003E1F2F" w:rsidRPr="00C44A42">
              <w:rPr>
                <w:rFonts w:ascii="Calibri" w:hAnsi="Calibri" w:cs="Calibri"/>
                <w:sz w:val="24"/>
                <w:szCs w:val="24"/>
              </w:rPr>
              <w:t xml:space="preserve">requirements </w:t>
            </w:r>
            <w:r w:rsidRPr="00C44A42">
              <w:rPr>
                <w:rFonts w:ascii="Calibri" w:hAnsi="Calibri" w:cs="Calibri"/>
                <w:sz w:val="24"/>
                <w:szCs w:val="24"/>
              </w:rPr>
              <w:t xml:space="preserve">for capital funds </w:t>
            </w:r>
            <w:r w:rsidR="003E1F2F" w:rsidRPr="00C44A42">
              <w:rPr>
                <w:rFonts w:ascii="Calibri" w:hAnsi="Calibri" w:cs="Calibri"/>
                <w:sz w:val="24"/>
                <w:szCs w:val="24"/>
              </w:rPr>
              <w:t xml:space="preserve">across our provider organisations are significantly higher than funding available. </w:t>
            </w:r>
          </w:p>
          <w:p w14:paraId="12AF5FC6" w14:textId="77777777" w:rsidR="00EF5031" w:rsidRPr="00C44A42" w:rsidRDefault="00EF5031" w:rsidP="0061200D">
            <w:pPr>
              <w:rPr>
                <w:rFonts w:ascii="Calibri" w:hAnsi="Calibri" w:cs="Calibri"/>
                <w:sz w:val="24"/>
                <w:szCs w:val="24"/>
              </w:rPr>
            </w:pPr>
          </w:p>
          <w:p w14:paraId="23C2A1EE" w14:textId="505EDA43" w:rsidR="00EC6A55" w:rsidRDefault="003E1F2F" w:rsidP="0061200D">
            <w:pPr>
              <w:rPr>
                <w:rFonts w:ascii="Calibri" w:hAnsi="Calibri" w:cs="Calibri"/>
                <w:sz w:val="24"/>
                <w:szCs w:val="24"/>
              </w:rPr>
            </w:pPr>
            <w:r w:rsidRPr="00C44A42">
              <w:rPr>
                <w:rFonts w:ascii="Calibri" w:hAnsi="Calibri" w:cs="Calibri"/>
                <w:sz w:val="24"/>
                <w:szCs w:val="24"/>
              </w:rPr>
              <w:t xml:space="preserve">In recent years the </w:t>
            </w:r>
            <w:r w:rsidR="00EF5031" w:rsidRPr="00C44A42">
              <w:rPr>
                <w:rFonts w:ascii="Calibri" w:hAnsi="Calibri" w:cs="Calibri"/>
                <w:sz w:val="24"/>
                <w:szCs w:val="24"/>
              </w:rPr>
              <w:t xml:space="preserve">capital </w:t>
            </w:r>
            <w:r w:rsidRPr="00C44A42">
              <w:rPr>
                <w:rFonts w:ascii="Calibri" w:hAnsi="Calibri" w:cs="Calibri"/>
                <w:sz w:val="24"/>
                <w:szCs w:val="24"/>
              </w:rPr>
              <w:t xml:space="preserve">envelope has been mainly used to address operational priorities on an annual basis such as equipment replacement, IT upgrades and backlog maintenance priorities. </w:t>
            </w:r>
            <w:r w:rsidR="00775265" w:rsidRPr="00C44A42">
              <w:rPr>
                <w:rFonts w:ascii="Calibri" w:hAnsi="Calibri" w:cs="Calibri"/>
                <w:sz w:val="24"/>
                <w:szCs w:val="24"/>
              </w:rPr>
              <w:t xml:space="preserve">The envelope is also supported where possible by the disposal of assets.  </w:t>
            </w:r>
            <w:r w:rsidRPr="00C44A42">
              <w:rPr>
                <w:rFonts w:ascii="Calibri" w:hAnsi="Calibri" w:cs="Calibri"/>
                <w:sz w:val="24"/>
                <w:szCs w:val="24"/>
              </w:rPr>
              <w:t xml:space="preserve">Larger strategic priorities have tended to be funded by targeted national funding as it becomes available.  </w:t>
            </w:r>
          </w:p>
          <w:p w14:paraId="501AF845" w14:textId="77777777" w:rsidR="00EC6A55" w:rsidRPr="00C44A42" w:rsidRDefault="00EC6A55" w:rsidP="0061200D">
            <w:pPr>
              <w:rPr>
                <w:rFonts w:ascii="Calibri" w:hAnsi="Calibri" w:cs="Calibri"/>
                <w:sz w:val="24"/>
                <w:szCs w:val="24"/>
              </w:rPr>
            </w:pPr>
          </w:p>
          <w:p w14:paraId="04F3AE05" w14:textId="731968BE" w:rsidR="001247C3" w:rsidRPr="00C44A42" w:rsidRDefault="003C2EB7" w:rsidP="0061200D">
            <w:pPr>
              <w:rPr>
                <w:sz w:val="24"/>
                <w:szCs w:val="24"/>
              </w:rPr>
            </w:pPr>
            <w:r w:rsidRPr="00C44A42">
              <w:rPr>
                <w:rFonts w:ascii="Calibri" w:hAnsi="Calibri" w:cs="Calibri"/>
                <w:sz w:val="24"/>
                <w:szCs w:val="24"/>
              </w:rPr>
              <w:t xml:space="preserve">The </w:t>
            </w:r>
            <w:r w:rsidR="003E1F2F" w:rsidRPr="00C44A42">
              <w:rPr>
                <w:rFonts w:ascii="Calibri" w:hAnsi="Calibri" w:cs="Calibri"/>
                <w:sz w:val="24"/>
                <w:szCs w:val="24"/>
              </w:rPr>
              <w:t xml:space="preserve">system </w:t>
            </w:r>
            <w:r w:rsidRPr="00C44A42">
              <w:rPr>
                <w:rFonts w:ascii="Calibri" w:hAnsi="Calibri" w:cs="Calibri"/>
                <w:sz w:val="24"/>
                <w:szCs w:val="24"/>
              </w:rPr>
              <w:t xml:space="preserve">holds a </w:t>
            </w:r>
            <w:r w:rsidR="003E1F2F" w:rsidRPr="00C44A42">
              <w:rPr>
                <w:rFonts w:ascii="Calibri" w:hAnsi="Calibri" w:cs="Calibri"/>
                <w:sz w:val="24"/>
                <w:szCs w:val="24"/>
              </w:rPr>
              <w:t xml:space="preserve">capital database to </w:t>
            </w:r>
            <w:r w:rsidRPr="00C44A42">
              <w:rPr>
                <w:rFonts w:ascii="Calibri" w:hAnsi="Calibri" w:cs="Calibri"/>
                <w:sz w:val="24"/>
                <w:szCs w:val="24"/>
              </w:rPr>
              <w:t>provide</w:t>
            </w:r>
            <w:r w:rsidR="003E1F2F" w:rsidRPr="00C44A42">
              <w:rPr>
                <w:rFonts w:ascii="Calibri" w:hAnsi="Calibri" w:cs="Calibri"/>
                <w:sz w:val="24"/>
                <w:szCs w:val="24"/>
              </w:rPr>
              <w:t xml:space="preserve"> a granular understanding of capital plans and expenditure that would support proactive management of the capital programme and forward planning.</w:t>
            </w:r>
          </w:p>
        </w:tc>
      </w:tr>
    </w:tbl>
    <w:p w14:paraId="01C9D365" w14:textId="74D850BE" w:rsidR="004F142A" w:rsidRPr="000458A0" w:rsidRDefault="004F142A">
      <w:pPr>
        <w:rPr>
          <w:b/>
          <w:bCs/>
          <w:color w:val="FF0000"/>
          <w:sz w:val="24"/>
          <w:szCs w:val="24"/>
        </w:rPr>
      </w:pPr>
    </w:p>
    <w:tbl>
      <w:tblPr>
        <w:tblStyle w:val="TableGrid"/>
        <w:tblW w:w="9640" w:type="dxa"/>
        <w:tblInd w:w="-14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640"/>
      </w:tblGrid>
      <w:tr w:rsidR="000458A0" w:rsidRPr="000458A0" w14:paraId="1B64BE7B" w14:textId="77777777" w:rsidTr="00EC6A55">
        <w:trPr>
          <w:trHeight w:val="416"/>
        </w:trPr>
        <w:tc>
          <w:tcPr>
            <w:tcW w:w="9640" w:type="dxa"/>
            <w:shd w:val="clear" w:color="auto" w:fill="2F5496" w:themeFill="accent1" w:themeFillShade="BF"/>
            <w:vAlign w:val="center"/>
          </w:tcPr>
          <w:p w14:paraId="0E66DE24" w14:textId="766D0259" w:rsidR="0087650B" w:rsidRPr="000458A0" w:rsidRDefault="001754E6" w:rsidP="00384A7C">
            <w:pPr>
              <w:rPr>
                <w:i/>
                <w:iCs/>
                <w:color w:val="FF0000"/>
                <w:sz w:val="18"/>
                <w:szCs w:val="18"/>
              </w:rPr>
            </w:pPr>
            <w:r w:rsidRPr="001754E6">
              <w:rPr>
                <w:b/>
                <w:bCs/>
                <w:color w:val="FFFFFF" w:themeColor="background1"/>
                <w:sz w:val="24"/>
                <w:szCs w:val="24"/>
              </w:rPr>
              <w:t>2025/26 CDEL allocations and sources of funding</w:t>
            </w:r>
          </w:p>
        </w:tc>
      </w:tr>
      <w:tr w:rsidR="000458A0" w:rsidRPr="000458A0" w14:paraId="47C1942C" w14:textId="77777777" w:rsidTr="009B4149">
        <w:trPr>
          <w:trHeight w:val="1440"/>
        </w:trPr>
        <w:tc>
          <w:tcPr>
            <w:tcW w:w="9640" w:type="dxa"/>
            <w:shd w:val="clear" w:color="auto" w:fill="FFFFFF" w:themeFill="background1"/>
          </w:tcPr>
          <w:p w14:paraId="522700F7" w14:textId="3029F6AA" w:rsidR="0061200D" w:rsidRDefault="006B7006" w:rsidP="003708C8">
            <w:pPr>
              <w:rPr>
                <w:sz w:val="24"/>
                <w:szCs w:val="24"/>
              </w:rPr>
            </w:pPr>
            <w:r w:rsidRPr="00036AD4">
              <w:rPr>
                <w:sz w:val="24"/>
                <w:szCs w:val="24"/>
              </w:rPr>
              <w:t xml:space="preserve">The </w:t>
            </w:r>
            <w:r w:rsidR="002749BE" w:rsidRPr="00036AD4">
              <w:rPr>
                <w:sz w:val="24"/>
                <w:szCs w:val="24"/>
              </w:rPr>
              <w:t xml:space="preserve">summary </w:t>
            </w:r>
            <w:r w:rsidRPr="00036AD4">
              <w:rPr>
                <w:sz w:val="24"/>
                <w:szCs w:val="24"/>
              </w:rPr>
              <w:t xml:space="preserve">table below </w:t>
            </w:r>
            <w:r w:rsidR="002749BE" w:rsidRPr="00036AD4">
              <w:rPr>
                <w:sz w:val="24"/>
                <w:szCs w:val="24"/>
              </w:rPr>
              <w:t>(</w:t>
            </w:r>
            <w:r w:rsidR="00EC6A55" w:rsidRPr="00036AD4">
              <w:rPr>
                <w:sz w:val="24"/>
                <w:szCs w:val="24"/>
              </w:rPr>
              <w:t>see</w:t>
            </w:r>
            <w:r w:rsidR="002749BE" w:rsidRPr="00036AD4">
              <w:rPr>
                <w:sz w:val="24"/>
                <w:szCs w:val="24"/>
              </w:rPr>
              <w:t xml:space="preserve"> </w:t>
            </w:r>
            <w:r w:rsidR="001F0569" w:rsidRPr="00036AD4">
              <w:rPr>
                <w:sz w:val="24"/>
                <w:szCs w:val="24"/>
              </w:rPr>
              <w:t xml:space="preserve">more </w:t>
            </w:r>
            <w:r w:rsidR="002749BE" w:rsidRPr="00036AD4">
              <w:rPr>
                <w:sz w:val="24"/>
                <w:szCs w:val="24"/>
              </w:rPr>
              <w:t>detailed table in A</w:t>
            </w:r>
            <w:r w:rsidR="00EC6A55" w:rsidRPr="00036AD4">
              <w:rPr>
                <w:sz w:val="24"/>
                <w:szCs w:val="24"/>
              </w:rPr>
              <w:t>nne</w:t>
            </w:r>
            <w:r w:rsidR="001F0569" w:rsidRPr="00036AD4">
              <w:rPr>
                <w:sz w:val="24"/>
                <w:szCs w:val="24"/>
              </w:rPr>
              <w:t xml:space="preserve">x </w:t>
            </w:r>
            <w:r w:rsidR="002749BE" w:rsidRPr="00036AD4">
              <w:rPr>
                <w:sz w:val="24"/>
                <w:szCs w:val="24"/>
              </w:rPr>
              <w:t xml:space="preserve">A) </w:t>
            </w:r>
            <w:r w:rsidRPr="00036AD4">
              <w:rPr>
                <w:sz w:val="24"/>
                <w:szCs w:val="24"/>
              </w:rPr>
              <w:t xml:space="preserve">shows the expected sources of </w:t>
            </w:r>
            <w:r w:rsidR="00C8357B" w:rsidRPr="00036AD4">
              <w:rPr>
                <w:sz w:val="24"/>
                <w:szCs w:val="24"/>
              </w:rPr>
              <w:t>capital</w:t>
            </w:r>
            <w:r w:rsidRPr="00036AD4">
              <w:rPr>
                <w:sz w:val="24"/>
                <w:szCs w:val="24"/>
              </w:rPr>
              <w:t xml:space="preserve"> income for </w:t>
            </w:r>
            <w:r w:rsidR="00C8357B" w:rsidRPr="00036AD4">
              <w:rPr>
                <w:sz w:val="24"/>
                <w:szCs w:val="24"/>
              </w:rPr>
              <w:t>NHS partners</w:t>
            </w:r>
            <w:r w:rsidRPr="00036AD4">
              <w:rPr>
                <w:sz w:val="24"/>
                <w:szCs w:val="24"/>
              </w:rPr>
              <w:t xml:space="preserve"> in </w:t>
            </w:r>
            <w:r w:rsidR="003C2EB7" w:rsidRPr="00036AD4">
              <w:rPr>
                <w:sz w:val="24"/>
                <w:szCs w:val="24"/>
              </w:rPr>
              <w:t>202</w:t>
            </w:r>
            <w:r w:rsidR="00D70CE9" w:rsidRPr="00036AD4">
              <w:rPr>
                <w:sz w:val="24"/>
                <w:szCs w:val="24"/>
              </w:rPr>
              <w:t>5</w:t>
            </w:r>
            <w:r w:rsidR="003C2EB7" w:rsidRPr="00036AD4">
              <w:rPr>
                <w:sz w:val="24"/>
                <w:szCs w:val="24"/>
              </w:rPr>
              <w:t>/2</w:t>
            </w:r>
            <w:r w:rsidR="00D70CE9" w:rsidRPr="00036AD4">
              <w:rPr>
                <w:sz w:val="24"/>
                <w:szCs w:val="24"/>
              </w:rPr>
              <w:t>6</w:t>
            </w:r>
            <w:r w:rsidRPr="00036AD4">
              <w:rPr>
                <w:sz w:val="24"/>
                <w:szCs w:val="24"/>
              </w:rPr>
              <w:t xml:space="preserve">.  </w:t>
            </w:r>
            <w:r w:rsidR="00515C54" w:rsidRPr="00036AD4">
              <w:rPr>
                <w:sz w:val="24"/>
                <w:szCs w:val="24"/>
              </w:rPr>
              <w:t xml:space="preserve">The system has been successful in bidding for several funding sources from outside of the operational capital envelope. </w:t>
            </w:r>
          </w:p>
          <w:p w14:paraId="1B03ACCD" w14:textId="77777777" w:rsidR="00CF5382" w:rsidRPr="00036AD4" w:rsidRDefault="00CF5382" w:rsidP="003708C8">
            <w:pPr>
              <w:rPr>
                <w:sz w:val="24"/>
                <w:szCs w:val="24"/>
              </w:rPr>
            </w:pPr>
          </w:p>
          <w:tbl>
            <w:tblPr>
              <w:tblW w:w="7460" w:type="dxa"/>
              <w:tblLook w:val="04A0" w:firstRow="1" w:lastRow="0" w:firstColumn="1" w:lastColumn="0" w:noHBand="0" w:noVBand="1"/>
            </w:tblPr>
            <w:tblGrid>
              <w:gridCol w:w="6540"/>
              <w:gridCol w:w="920"/>
            </w:tblGrid>
            <w:tr w:rsidR="0061200D" w:rsidRPr="0061200D" w14:paraId="6BCF75C9" w14:textId="77777777" w:rsidTr="0061200D">
              <w:trPr>
                <w:trHeight w:val="300"/>
              </w:trPr>
              <w:tc>
                <w:tcPr>
                  <w:tcW w:w="6540" w:type="dxa"/>
                  <w:tcBorders>
                    <w:top w:val="single" w:sz="8" w:space="0" w:color="auto"/>
                    <w:left w:val="single" w:sz="8" w:space="0" w:color="auto"/>
                    <w:bottom w:val="nil"/>
                    <w:right w:val="single" w:sz="8" w:space="0" w:color="auto"/>
                  </w:tcBorders>
                  <w:shd w:val="clear" w:color="000000" w:fill="0070C0"/>
                  <w:noWrap/>
                  <w:vAlign w:val="center"/>
                  <w:hideMark/>
                </w:tcPr>
                <w:p w14:paraId="0130F9E9" w14:textId="77777777" w:rsidR="0061200D" w:rsidRPr="0061200D" w:rsidRDefault="0061200D" w:rsidP="0061200D">
                  <w:pPr>
                    <w:spacing w:after="0" w:line="240" w:lineRule="auto"/>
                    <w:jc w:val="center"/>
                    <w:rPr>
                      <w:rFonts w:ascii="Calibri" w:eastAsia="Times New Roman" w:hAnsi="Calibri" w:cs="Calibri"/>
                      <w:b/>
                      <w:bCs/>
                      <w:color w:val="FFFFFF"/>
                      <w:lang w:eastAsia="en-GB"/>
                    </w:rPr>
                  </w:pPr>
                  <w:r w:rsidRPr="0061200D">
                    <w:rPr>
                      <w:rFonts w:ascii="Calibri" w:eastAsia="Times New Roman" w:hAnsi="Calibri" w:cs="Calibri"/>
                      <w:b/>
                      <w:bCs/>
                      <w:color w:val="FFFFFF"/>
                      <w:lang w:eastAsia="en-GB"/>
                    </w:rPr>
                    <w:t>Net CDEL 2025/26</w:t>
                  </w:r>
                </w:p>
              </w:tc>
              <w:tc>
                <w:tcPr>
                  <w:tcW w:w="920" w:type="dxa"/>
                  <w:tcBorders>
                    <w:top w:val="single" w:sz="8" w:space="0" w:color="auto"/>
                    <w:left w:val="nil"/>
                    <w:bottom w:val="nil"/>
                    <w:right w:val="single" w:sz="8" w:space="0" w:color="auto"/>
                  </w:tcBorders>
                  <w:shd w:val="clear" w:color="000000" w:fill="0070C0"/>
                  <w:vAlign w:val="center"/>
                  <w:hideMark/>
                </w:tcPr>
                <w:p w14:paraId="4EF017D7" w14:textId="77777777" w:rsidR="0061200D" w:rsidRPr="0061200D" w:rsidRDefault="0061200D" w:rsidP="0061200D">
                  <w:pPr>
                    <w:spacing w:after="0" w:line="240" w:lineRule="auto"/>
                    <w:jc w:val="center"/>
                    <w:rPr>
                      <w:rFonts w:ascii="Calibri" w:eastAsia="Times New Roman" w:hAnsi="Calibri" w:cs="Calibri"/>
                      <w:b/>
                      <w:bCs/>
                      <w:color w:val="FFFFFF"/>
                      <w:lang w:eastAsia="en-GB"/>
                    </w:rPr>
                  </w:pPr>
                  <w:r w:rsidRPr="0061200D">
                    <w:rPr>
                      <w:rFonts w:ascii="Calibri" w:eastAsia="Times New Roman" w:hAnsi="Calibri" w:cs="Calibri"/>
                      <w:b/>
                      <w:bCs/>
                      <w:color w:val="FFFFFF"/>
                      <w:lang w:eastAsia="en-GB"/>
                    </w:rPr>
                    <w:t>Plan</w:t>
                  </w:r>
                </w:p>
              </w:tc>
            </w:tr>
            <w:tr w:rsidR="0061200D" w:rsidRPr="0061200D" w14:paraId="0F128D66" w14:textId="77777777" w:rsidTr="0061200D">
              <w:trPr>
                <w:trHeight w:val="300"/>
              </w:trPr>
              <w:tc>
                <w:tcPr>
                  <w:tcW w:w="6540" w:type="dxa"/>
                  <w:tcBorders>
                    <w:top w:val="nil"/>
                    <w:left w:val="single" w:sz="8" w:space="0" w:color="auto"/>
                    <w:bottom w:val="nil"/>
                    <w:right w:val="single" w:sz="8" w:space="0" w:color="auto"/>
                  </w:tcBorders>
                  <w:shd w:val="clear" w:color="000000" w:fill="0070C0"/>
                  <w:noWrap/>
                  <w:vAlign w:val="center"/>
                  <w:hideMark/>
                </w:tcPr>
                <w:p w14:paraId="10E68DCB" w14:textId="77777777" w:rsidR="0061200D" w:rsidRPr="0061200D" w:rsidRDefault="0061200D" w:rsidP="0061200D">
                  <w:pPr>
                    <w:spacing w:after="0" w:line="240" w:lineRule="auto"/>
                    <w:jc w:val="center"/>
                    <w:rPr>
                      <w:rFonts w:ascii="Calibri" w:eastAsia="Times New Roman" w:hAnsi="Calibri" w:cs="Calibri"/>
                      <w:b/>
                      <w:bCs/>
                      <w:color w:val="FFFFFF"/>
                      <w:lang w:eastAsia="en-GB"/>
                    </w:rPr>
                  </w:pPr>
                  <w:r w:rsidRPr="0061200D">
                    <w:rPr>
                      <w:rFonts w:ascii="Calibri" w:eastAsia="Times New Roman" w:hAnsi="Calibri" w:cs="Calibri"/>
                      <w:b/>
                      <w:bCs/>
                      <w:color w:val="FFFFFF"/>
                      <w:lang w:eastAsia="en-GB"/>
                    </w:rPr>
                    <w:t> </w:t>
                  </w:r>
                </w:p>
              </w:tc>
              <w:tc>
                <w:tcPr>
                  <w:tcW w:w="920" w:type="dxa"/>
                  <w:tcBorders>
                    <w:top w:val="nil"/>
                    <w:left w:val="nil"/>
                    <w:bottom w:val="single" w:sz="8" w:space="0" w:color="auto"/>
                    <w:right w:val="single" w:sz="8" w:space="0" w:color="auto"/>
                  </w:tcBorders>
                  <w:shd w:val="clear" w:color="000000" w:fill="0070C0"/>
                  <w:vAlign w:val="center"/>
                  <w:hideMark/>
                </w:tcPr>
                <w:p w14:paraId="77DA5C44" w14:textId="77777777" w:rsidR="0061200D" w:rsidRPr="0061200D" w:rsidRDefault="0061200D" w:rsidP="0061200D">
                  <w:pPr>
                    <w:spacing w:after="0" w:line="240" w:lineRule="auto"/>
                    <w:jc w:val="center"/>
                    <w:rPr>
                      <w:rFonts w:ascii="Calibri" w:eastAsia="Times New Roman" w:hAnsi="Calibri" w:cs="Calibri"/>
                      <w:b/>
                      <w:bCs/>
                      <w:color w:val="FFFFFF"/>
                      <w:lang w:eastAsia="en-GB"/>
                    </w:rPr>
                  </w:pPr>
                  <w:r w:rsidRPr="0061200D">
                    <w:rPr>
                      <w:rFonts w:ascii="Calibri" w:eastAsia="Times New Roman" w:hAnsi="Calibri" w:cs="Calibri"/>
                      <w:b/>
                      <w:bCs/>
                      <w:color w:val="FFFFFF"/>
                      <w:lang w:eastAsia="en-GB"/>
                    </w:rPr>
                    <w:t>£’m</w:t>
                  </w:r>
                </w:p>
              </w:tc>
            </w:tr>
            <w:tr w:rsidR="0061200D" w:rsidRPr="0061200D" w14:paraId="34A2B229" w14:textId="77777777" w:rsidTr="0061200D">
              <w:trPr>
                <w:trHeight w:val="300"/>
              </w:trPr>
              <w:tc>
                <w:tcPr>
                  <w:tcW w:w="6540" w:type="dxa"/>
                  <w:tcBorders>
                    <w:top w:val="single" w:sz="8" w:space="0" w:color="000000"/>
                    <w:left w:val="single" w:sz="8" w:space="0" w:color="auto"/>
                    <w:bottom w:val="single" w:sz="8" w:space="0" w:color="auto"/>
                    <w:right w:val="single" w:sz="8" w:space="0" w:color="auto"/>
                  </w:tcBorders>
                  <w:shd w:val="clear" w:color="auto" w:fill="auto"/>
                  <w:noWrap/>
                  <w:vAlign w:val="center"/>
                  <w:hideMark/>
                </w:tcPr>
                <w:p w14:paraId="55C73CB9" w14:textId="30D42893" w:rsidR="0061200D" w:rsidRPr="0061200D" w:rsidRDefault="0061200D" w:rsidP="0061200D">
                  <w:pPr>
                    <w:spacing w:after="0" w:line="240" w:lineRule="auto"/>
                    <w:rPr>
                      <w:rFonts w:ascii="Calibri" w:eastAsia="Times New Roman" w:hAnsi="Calibri" w:cs="Calibri"/>
                      <w:color w:val="000000"/>
                      <w:lang w:eastAsia="en-GB"/>
                    </w:rPr>
                  </w:pPr>
                  <w:r w:rsidRPr="0061200D">
                    <w:rPr>
                      <w:rFonts w:ascii="Calibri" w:eastAsia="Times New Roman" w:hAnsi="Calibri" w:cs="Calibri"/>
                      <w:color w:val="000000"/>
                      <w:lang w:eastAsia="en-GB"/>
                    </w:rPr>
                    <w:t xml:space="preserve">Operational Capital </w:t>
                  </w:r>
                  <w:r w:rsidR="00606C61">
                    <w:rPr>
                      <w:rFonts w:ascii="Calibri" w:eastAsia="Times New Roman" w:hAnsi="Calibri" w:cs="Calibri"/>
                      <w:color w:val="000000"/>
                      <w:lang w:eastAsia="en-GB"/>
                    </w:rPr>
                    <w:t>–</w:t>
                  </w:r>
                  <w:r w:rsidRPr="0061200D">
                    <w:rPr>
                      <w:rFonts w:ascii="Calibri" w:eastAsia="Times New Roman" w:hAnsi="Calibri" w:cs="Calibri"/>
                      <w:color w:val="000000"/>
                      <w:lang w:eastAsia="en-GB"/>
                    </w:rPr>
                    <w:t xml:space="preserve"> ICB</w:t>
                  </w:r>
                </w:p>
              </w:tc>
              <w:tc>
                <w:tcPr>
                  <w:tcW w:w="920" w:type="dxa"/>
                  <w:tcBorders>
                    <w:top w:val="nil"/>
                    <w:left w:val="nil"/>
                    <w:bottom w:val="nil"/>
                    <w:right w:val="single" w:sz="8" w:space="0" w:color="auto"/>
                  </w:tcBorders>
                  <w:shd w:val="clear" w:color="000000" w:fill="D9D9D9"/>
                  <w:noWrap/>
                  <w:vAlign w:val="center"/>
                  <w:hideMark/>
                </w:tcPr>
                <w:p w14:paraId="577167A9" w14:textId="77777777" w:rsidR="0061200D" w:rsidRPr="0061200D" w:rsidRDefault="0061200D" w:rsidP="0061200D">
                  <w:pPr>
                    <w:spacing w:after="0" w:line="240" w:lineRule="auto"/>
                    <w:jc w:val="right"/>
                    <w:rPr>
                      <w:rFonts w:ascii="Calibri" w:eastAsia="Times New Roman" w:hAnsi="Calibri" w:cs="Calibri"/>
                      <w:b/>
                      <w:bCs/>
                      <w:lang w:eastAsia="en-GB"/>
                    </w:rPr>
                  </w:pPr>
                  <w:r w:rsidRPr="0061200D">
                    <w:rPr>
                      <w:rFonts w:ascii="Calibri" w:eastAsia="Times New Roman" w:hAnsi="Calibri" w:cs="Calibri"/>
                      <w:b/>
                      <w:bCs/>
                      <w:lang w:eastAsia="en-GB"/>
                    </w:rPr>
                    <w:t>4.6</w:t>
                  </w:r>
                </w:p>
              </w:tc>
            </w:tr>
            <w:tr w:rsidR="0061200D" w:rsidRPr="0061200D" w14:paraId="22E17AEE" w14:textId="77777777" w:rsidTr="0061200D">
              <w:trPr>
                <w:trHeight w:val="300"/>
              </w:trPr>
              <w:tc>
                <w:tcPr>
                  <w:tcW w:w="6540" w:type="dxa"/>
                  <w:tcBorders>
                    <w:top w:val="nil"/>
                    <w:left w:val="single" w:sz="8" w:space="0" w:color="auto"/>
                    <w:bottom w:val="single" w:sz="8" w:space="0" w:color="auto"/>
                    <w:right w:val="single" w:sz="8" w:space="0" w:color="auto"/>
                  </w:tcBorders>
                  <w:shd w:val="clear" w:color="auto" w:fill="auto"/>
                  <w:noWrap/>
                  <w:vAlign w:val="center"/>
                  <w:hideMark/>
                </w:tcPr>
                <w:p w14:paraId="60999AB8" w14:textId="56256A70" w:rsidR="0061200D" w:rsidRPr="0061200D" w:rsidRDefault="0061200D" w:rsidP="0061200D">
                  <w:pPr>
                    <w:spacing w:after="0" w:line="240" w:lineRule="auto"/>
                    <w:rPr>
                      <w:rFonts w:ascii="Calibri" w:eastAsia="Times New Roman" w:hAnsi="Calibri" w:cs="Calibri"/>
                      <w:color w:val="000000"/>
                      <w:lang w:eastAsia="en-GB"/>
                    </w:rPr>
                  </w:pPr>
                  <w:r w:rsidRPr="0061200D">
                    <w:rPr>
                      <w:rFonts w:ascii="Calibri" w:eastAsia="Times New Roman" w:hAnsi="Calibri" w:cs="Calibri"/>
                      <w:color w:val="000000"/>
                      <w:lang w:eastAsia="en-GB"/>
                    </w:rPr>
                    <w:t xml:space="preserve">Operational Capital </w:t>
                  </w:r>
                  <w:r w:rsidR="00606C61">
                    <w:rPr>
                      <w:rFonts w:ascii="Calibri" w:eastAsia="Times New Roman" w:hAnsi="Calibri" w:cs="Calibri"/>
                      <w:color w:val="000000"/>
                      <w:lang w:eastAsia="en-GB"/>
                    </w:rPr>
                    <w:t>–</w:t>
                  </w:r>
                  <w:r w:rsidRPr="0061200D">
                    <w:rPr>
                      <w:rFonts w:ascii="Calibri" w:eastAsia="Times New Roman" w:hAnsi="Calibri" w:cs="Calibri"/>
                      <w:color w:val="000000"/>
                      <w:lang w:eastAsia="en-GB"/>
                    </w:rPr>
                    <w:t xml:space="preserve"> Provider</w:t>
                  </w:r>
                </w:p>
              </w:tc>
              <w:tc>
                <w:tcPr>
                  <w:tcW w:w="920" w:type="dxa"/>
                  <w:tcBorders>
                    <w:top w:val="nil"/>
                    <w:left w:val="nil"/>
                    <w:bottom w:val="nil"/>
                    <w:right w:val="single" w:sz="8" w:space="0" w:color="auto"/>
                  </w:tcBorders>
                  <w:shd w:val="clear" w:color="000000" w:fill="D9D9D9"/>
                  <w:noWrap/>
                  <w:vAlign w:val="center"/>
                  <w:hideMark/>
                </w:tcPr>
                <w:p w14:paraId="7FD17E26" w14:textId="77777777" w:rsidR="0061200D" w:rsidRPr="0061200D" w:rsidRDefault="0061200D" w:rsidP="0061200D">
                  <w:pPr>
                    <w:spacing w:after="0" w:line="240" w:lineRule="auto"/>
                    <w:jc w:val="right"/>
                    <w:rPr>
                      <w:rFonts w:ascii="Calibri" w:eastAsia="Times New Roman" w:hAnsi="Calibri" w:cs="Calibri"/>
                      <w:b/>
                      <w:bCs/>
                      <w:lang w:eastAsia="en-GB"/>
                    </w:rPr>
                  </w:pPr>
                  <w:r w:rsidRPr="0061200D">
                    <w:rPr>
                      <w:rFonts w:ascii="Calibri" w:eastAsia="Times New Roman" w:hAnsi="Calibri" w:cs="Calibri"/>
                      <w:b/>
                      <w:bCs/>
                      <w:lang w:eastAsia="en-GB"/>
                    </w:rPr>
                    <w:t>86.7</w:t>
                  </w:r>
                </w:p>
              </w:tc>
            </w:tr>
            <w:tr w:rsidR="0061200D" w:rsidRPr="0061200D" w14:paraId="09292F55" w14:textId="77777777" w:rsidTr="0061200D">
              <w:trPr>
                <w:trHeight w:val="300"/>
              </w:trPr>
              <w:tc>
                <w:tcPr>
                  <w:tcW w:w="6540" w:type="dxa"/>
                  <w:tcBorders>
                    <w:top w:val="nil"/>
                    <w:left w:val="single" w:sz="8" w:space="0" w:color="auto"/>
                    <w:bottom w:val="single" w:sz="8" w:space="0" w:color="auto"/>
                    <w:right w:val="single" w:sz="8" w:space="0" w:color="auto"/>
                  </w:tcBorders>
                  <w:shd w:val="clear" w:color="000000" w:fill="D9D9D9"/>
                  <w:noWrap/>
                  <w:vAlign w:val="center"/>
                  <w:hideMark/>
                </w:tcPr>
                <w:p w14:paraId="3F35D181" w14:textId="77777777" w:rsidR="0061200D" w:rsidRPr="0061200D" w:rsidRDefault="0061200D" w:rsidP="0061200D">
                  <w:pPr>
                    <w:spacing w:after="0" w:line="240" w:lineRule="auto"/>
                    <w:rPr>
                      <w:rFonts w:ascii="Calibri" w:eastAsia="Times New Roman" w:hAnsi="Calibri" w:cs="Calibri"/>
                      <w:b/>
                      <w:bCs/>
                      <w:color w:val="000000"/>
                      <w:lang w:eastAsia="en-GB"/>
                    </w:rPr>
                  </w:pPr>
                  <w:r w:rsidRPr="0061200D">
                    <w:rPr>
                      <w:rFonts w:ascii="Calibri" w:eastAsia="Times New Roman" w:hAnsi="Calibri" w:cs="Calibri"/>
                      <w:b/>
                      <w:bCs/>
                      <w:color w:val="000000"/>
                      <w:lang w:eastAsia="en-GB"/>
                    </w:rPr>
                    <w:t>Sub Total System Operational Capital</w:t>
                  </w:r>
                </w:p>
              </w:tc>
              <w:tc>
                <w:tcPr>
                  <w:tcW w:w="920" w:type="dxa"/>
                  <w:tcBorders>
                    <w:top w:val="single" w:sz="8" w:space="0" w:color="auto"/>
                    <w:left w:val="nil"/>
                    <w:bottom w:val="single" w:sz="8" w:space="0" w:color="auto"/>
                    <w:right w:val="single" w:sz="8" w:space="0" w:color="auto"/>
                  </w:tcBorders>
                  <w:shd w:val="clear" w:color="000000" w:fill="D9D9D9"/>
                  <w:noWrap/>
                  <w:vAlign w:val="center"/>
                  <w:hideMark/>
                </w:tcPr>
                <w:p w14:paraId="0EB321ED" w14:textId="77777777" w:rsidR="0061200D" w:rsidRPr="0061200D" w:rsidRDefault="0061200D" w:rsidP="0061200D">
                  <w:pPr>
                    <w:spacing w:after="0" w:line="240" w:lineRule="auto"/>
                    <w:jc w:val="right"/>
                    <w:rPr>
                      <w:rFonts w:ascii="Calibri" w:eastAsia="Times New Roman" w:hAnsi="Calibri" w:cs="Calibri"/>
                      <w:b/>
                      <w:bCs/>
                      <w:lang w:eastAsia="en-GB"/>
                    </w:rPr>
                  </w:pPr>
                  <w:r w:rsidRPr="0061200D">
                    <w:rPr>
                      <w:rFonts w:ascii="Calibri" w:eastAsia="Times New Roman" w:hAnsi="Calibri" w:cs="Calibri"/>
                      <w:b/>
                      <w:bCs/>
                      <w:lang w:eastAsia="en-GB"/>
                    </w:rPr>
                    <w:t>91.3</w:t>
                  </w:r>
                </w:p>
              </w:tc>
            </w:tr>
            <w:tr w:rsidR="0061200D" w:rsidRPr="0061200D" w14:paraId="07592C48" w14:textId="77777777" w:rsidTr="0061200D">
              <w:trPr>
                <w:trHeight w:val="300"/>
              </w:trPr>
              <w:tc>
                <w:tcPr>
                  <w:tcW w:w="6540" w:type="dxa"/>
                  <w:tcBorders>
                    <w:top w:val="nil"/>
                    <w:left w:val="single" w:sz="8" w:space="0" w:color="auto"/>
                    <w:bottom w:val="single" w:sz="8" w:space="0" w:color="auto"/>
                    <w:right w:val="nil"/>
                  </w:tcBorders>
                  <w:shd w:val="clear" w:color="000000" w:fill="D9D9D9"/>
                  <w:noWrap/>
                  <w:vAlign w:val="center"/>
                  <w:hideMark/>
                </w:tcPr>
                <w:p w14:paraId="0C098621" w14:textId="77777777" w:rsidR="0061200D" w:rsidRPr="0061200D" w:rsidRDefault="0061200D" w:rsidP="0061200D">
                  <w:pPr>
                    <w:spacing w:after="0" w:line="240" w:lineRule="auto"/>
                    <w:rPr>
                      <w:rFonts w:ascii="Calibri" w:eastAsia="Times New Roman" w:hAnsi="Calibri" w:cs="Calibri"/>
                      <w:b/>
                      <w:bCs/>
                      <w:color w:val="000000"/>
                      <w:lang w:eastAsia="en-GB"/>
                    </w:rPr>
                  </w:pPr>
                  <w:r w:rsidRPr="0061200D">
                    <w:rPr>
                      <w:rFonts w:ascii="Calibri" w:eastAsia="Times New Roman" w:hAnsi="Calibri" w:cs="Calibri"/>
                      <w:b/>
                      <w:bCs/>
                      <w:color w:val="000000"/>
                      <w:lang w:eastAsia="en-GB"/>
                    </w:rPr>
                    <w:t>Programme National Programme Spend</w:t>
                  </w:r>
                </w:p>
              </w:tc>
              <w:tc>
                <w:tcPr>
                  <w:tcW w:w="920" w:type="dxa"/>
                  <w:tcBorders>
                    <w:top w:val="nil"/>
                    <w:left w:val="nil"/>
                    <w:bottom w:val="single" w:sz="8" w:space="0" w:color="auto"/>
                    <w:right w:val="single" w:sz="8" w:space="0" w:color="auto"/>
                  </w:tcBorders>
                  <w:shd w:val="clear" w:color="000000" w:fill="D9D9D9"/>
                  <w:noWrap/>
                  <w:vAlign w:val="center"/>
                  <w:hideMark/>
                </w:tcPr>
                <w:p w14:paraId="646B66F2" w14:textId="77777777" w:rsidR="0061200D" w:rsidRPr="0061200D" w:rsidRDefault="0061200D" w:rsidP="0061200D">
                  <w:pPr>
                    <w:spacing w:after="0" w:line="240" w:lineRule="auto"/>
                    <w:rPr>
                      <w:rFonts w:ascii="Calibri" w:eastAsia="Times New Roman" w:hAnsi="Calibri" w:cs="Calibri"/>
                      <w:b/>
                      <w:bCs/>
                      <w:lang w:eastAsia="en-GB"/>
                    </w:rPr>
                  </w:pPr>
                  <w:r w:rsidRPr="0061200D">
                    <w:rPr>
                      <w:rFonts w:ascii="Calibri" w:eastAsia="Times New Roman" w:hAnsi="Calibri" w:cs="Calibri"/>
                      <w:b/>
                      <w:bCs/>
                      <w:lang w:eastAsia="en-GB"/>
                    </w:rPr>
                    <w:t> </w:t>
                  </w:r>
                </w:p>
              </w:tc>
            </w:tr>
            <w:tr w:rsidR="0061200D" w:rsidRPr="0061200D" w14:paraId="58430FCA" w14:textId="77777777" w:rsidTr="0061200D">
              <w:trPr>
                <w:trHeight w:val="300"/>
              </w:trPr>
              <w:tc>
                <w:tcPr>
                  <w:tcW w:w="6540" w:type="dxa"/>
                  <w:tcBorders>
                    <w:top w:val="nil"/>
                    <w:left w:val="single" w:sz="8" w:space="0" w:color="auto"/>
                    <w:bottom w:val="single" w:sz="8" w:space="0" w:color="auto"/>
                    <w:right w:val="single" w:sz="8" w:space="0" w:color="auto"/>
                  </w:tcBorders>
                  <w:shd w:val="clear" w:color="auto" w:fill="auto"/>
                  <w:noWrap/>
                  <w:vAlign w:val="center"/>
                  <w:hideMark/>
                </w:tcPr>
                <w:p w14:paraId="03047BE2" w14:textId="77777777" w:rsidR="0061200D" w:rsidRPr="0061200D" w:rsidRDefault="0061200D" w:rsidP="0061200D">
                  <w:pPr>
                    <w:spacing w:after="0" w:line="240" w:lineRule="auto"/>
                    <w:rPr>
                      <w:rFonts w:ascii="Calibri" w:eastAsia="Times New Roman" w:hAnsi="Calibri" w:cs="Calibri"/>
                      <w:color w:val="000000"/>
                      <w:lang w:eastAsia="en-GB"/>
                    </w:rPr>
                  </w:pPr>
                  <w:r w:rsidRPr="0061200D">
                    <w:rPr>
                      <w:rFonts w:ascii="Calibri" w:eastAsia="Times New Roman" w:hAnsi="Calibri" w:cs="Calibri"/>
                      <w:color w:val="000000"/>
                      <w:lang w:eastAsia="en-GB"/>
                    </w:rPr>
                    <w:t>Critical Infrastructure Risk</w:t>
                  </w:r>
                </w:p>
              </w:tc>
              <w:tc>
                <w:tcPr>
                  <w:tcW w:w="920" w:type="dxa"/>
                  <w:tcBorders>
                    <w:top w:val="nil"/>
                    <w:left w:val="nil"/>
                    <w:bottom w:val="nil"/>
                    <w:right w:val="single" w:sz="8" w:space="0" w:color="auto"/>
                  </w:tcBorders>
                  <w:shd w:val="clear" w:color="000000" w:fill="D9D9D9"/>
                  <w:noWrap/>
                  <w:vAlign w:val="center"/>
                  <w:hideMark/>
                </w:tcPr>
                <w:p w14:paraId="5E1149A4" w14:textId="77777777" w:rsidR="0061200D" w:rsidRPr="0061200D" w:rsidRDefault="0061200D" w:rsidP="0061200D">
                  <w:pPr>
                    <w:spacing w:after="0" w:line="240" w:lineRule="auto"/>
                    <w:jc w:val="right"/>
                    <w:rPr>
                      <w:rFonts w:ascii="Calibri" w:eastAsia="Times New Roman" w:hAnsi="Calibri" w:cs="Calibri"/>
                      <w:b/>
                      <w:bCs/>
                      <w:lang w:eastAsia="en-GB"/>
                    </w:rPr>
                  </w:pPr>
                  <w:r w:rsidRPr="0061200D">
                    <w:rPr>
                      <w:rFonts w:ascii="Calibri" w:eastAsia="Times New Roman" w:hAnsi="Calibri" w:cs="Calibri"/>
                      <w:b/>
                      <w:bCs/>
                      <w:lang w:eastAsia="en-GB"/>
                    </w:rPr>
                    <w:t>16.2</w:t>
                  </w:r>
                </w:p>
              </w:tc>
            </w:tr>
            <w:tr w:rsidR="0061200D" w:rsidRPr="0061200D" w14:paraId="7A5C5B9B" w14:textId="77777777" w:rsidTr="0061200D">
              <w:trPr>
                <w:trHeight w:val="300"/>
              </w:trPr>
              <w:tc>
                <w:tcPr>
                  <w:tcW w:w="6540" w:type="dxa"/>
                  <w:tcBorders>
                    <w:top w:val="nil"/>
                    <w:left w:val="single" w:sz="8" w:space="0" w:color="auto"/>
                    <w:bottom w:val="single" w:sz="8" w:space="0" w:color="auto"/>
                    <w:right w:val="single" w:sz="8" w:space="0" w:color="auto"/>
                  </w:tcBorders>
                  <w:shd w:val="clear" w:color="auto" w:fill="auto"/>
                  <w:vAlign w:val="center"/>
                  <w:hideMark/>
                </w:tcPr>
                <w:p w14:paraId="1FC1A8DA" w14:textId="77777777" w:rsidR="0061200D" w:rsidRPr="0061200D" w:rsidRDefault="0061200D" w:rsidP="0061200D">
                  <w:pPr>
                    <w:spacing w:after="0" w:line="240" w:lineRule="auto"/>
                    <w:rPr>
                      <w:rFonts w:ascii="Calibri" w:eastAsia="Times New Roman" w:hAnsi="Calibri" w:cs="Calibri"/>
                      <w:color w:val="000000"/>
                      <w:lang w:eastAsia="en-GB"/>
                    </w:rPr>
                  </w:pPr>
                  <w:r w:rsidRPr="0061200D">
                    <w:rPr>
                      <w:rFonts w:ascii="Calibri" w:eastAsia="Times New Roman" w:hAnsi="Calibri" w:cs="Calibri"/>
                      <w:color w:val="000000"/>
                      <w:lang w:eastAsia="en-GB"/>
                    </w:rPr>
                    <w:t>New Hospital Programmes</w:t>
                  </w:r>
                </w:p>
              </w:tc>
              <w:tc>
                <w:tcPr>
                  <w:tcW w:w="920" w:type="dxa"/>
                  <w:tcBorders>
                    <w:top w:val="nil"/>
                    <w:left w:val="nil"/>
                    <w:bottom w:val="nil"/>
                    <w:right w:val="single" w:sz="8" w:space="0" w:color="auto"/>
                  </w:tcBorders>
                  <w:shd w:val="clear" w:color="000000" w:fill="D9D9D9"/>
                  <w:noWrap/>
                  <w:vAlign w:val="center"/>
                  <w:hideMark/>
                </w:tcPr>
                <w:p w14:paraId="63777F52" w14:textId="77777777" w:rsidR="0061200D" w:rsidRPr="0061200D" w:rsidRDefault="0061200D" w:rsidP="0061200D">
                  <w:pPr>
                    <w:spacing w:after="0" w:line="240" w:lineRule="auto"/>
                    <w:jc w:val="right"/>
                    <w:rPr>
                      <w:rFonts w:ascii="Calibri" w:eastAsia="Times New Roman" w:hAnsi="Calibri" w:cs="Calibri"/>
                      <w:b/>
                      <w:bCs/>
                      <w:lang w:eastAsia="en-GB"/>
                    </w:rPr>
                  </w:pPr>
                  <w:r w:rsidRPr="0061200D">
                    <w:rPr>
                      <w:rFonts w:ascii="Calibri" w:eastAsia="Times New Roman" w:hAnsi="Calibri" w:cs="Calibri"/>
                      <w:b/>
                      <w:bCs/>
                      <w:lang w:eastAsia="en-GB"/>
                    </w:rPr>
                    <w:t>4.8</w:t>
                  </w:r>
                </w:p>
              </w:tc>
            </w:tr>
            <w:tr w:rsidR="0061200D" w:rsidRPr="0061200D" w14:paraId="2F58DD43" w14:textId="77777777" w:rsidTr="0061200D">
              <w:trPr>
                <w:trHeight w:val="300"/>
              </w:trPr>
              <w:tc>
                <w:tcPr>
                  <w:tcW w:w="6540" w:type="dxa"/>
                  <w:tcBorders>
                    <w:top w:val="nil"/>
                    <w:left w:val="single" w:sz="8" w:space="0" w:color="auto"/>
                    <w:bottom w:val="single" w:sz="8" w:space="0" w:color="auto"/>
                    <w:right w:val="single" w:sz="8" w:space="0" w:color="auto"/>
                  </w:tcBorders>
                  <w:shd w:val="clear" w:color="auto" w:fill="auto"/>
                  <w:noWrap/>
                  <w:vAlign w:val="center"/>
                  <w:hideMark/>
                </w:tcPr>
                <w:p w14:paraId="44333BF3" w14:textId="101D913F" w:rsidR="0061200D" w:rsidRPr="0061200D" w:rsidRDefault="0061200D" w:rsidP="0061200D">
                  <w:pPr>
                    <w:spacing w:after="0" w:line="240" w:lineRule="auto"/>
                    <w:rPr>
                      <w:rFonts w:ascii="Calibri" w:eastAsia="Times New Roman" w:hAnsi="Calibri" w:cs="Calibri"/>
                      <w:color w:val="000000"/>
                      <w:lang w:eastAsia="en-GB"/>
                    </w:rPr>
                  </w:pPr>
                  <w:r w:rsidRPr="0061200D">
                    <w:rPr>
                      <w:rFonts w:ascii="Calibri" w:eastAsia="Times New Roman" w:hAnsi="Calibri" w:cs="Calibri"/>
                      <w:color w:val="000000"/>
                      <w:lang w:eastAsia="en-GB"/>
                    </w:rPr>
                    <w:t>Digital - Electronic Patient Records</w:t>
                  </w:r>
                  <w:r w:rsidR="000070DD">
                    <w:rPr>
                      <w:rFonts w:ascii="Calibri" w:eastAsia="Times New Roman" w:hAnsi="Calibri" w:cs="Calibri"/>
                      <w:color w:val="000000"/>
                      <w:lang w:eastAsia="en-GB"/>
                    </w:rPr>
                    <w:t xml:space="preserve"> (EPR)</w:t>
                  </w:r>
                </w:p>
              </w:tc>
              <w:tc>
                <w:tcPr>
                  <w:tcW w:w="920" w:type="dxa"/>
                  <w:tcBorders>
                    <w:top w:val="nil"/>
                    <w:left w:val="nil"/>
                    <w:bottom w:val="nil"/>
                    <w:right w:val="single" w:sz="8" w:space="0" w:color="auto"/>
                  </w:tcBorders>
                  <w:shd w:val="clear" w:color="000000" w:fill="D9D9D9"/>
                  <w:noWrap/>
                  <w:vAlign w:val="center"/>
                  <w:hideMark/>
                </w:tcPr>
                <w:p w14:paraId="7C8FAFD1" w14:textId="77777777" w:rsidR="0061200D" w:rsidRPr="0061200D" w:rsidRDefault="0061200D" w:rsidP="0061200D">
                  <w:pPr>
                    <w:spacing w:after="0" w:line="240" w:lineRule="auto"/>
                    <w:jc w:val="right"/>
                    <w:rPr>
                      <w:rFonts w:ascii="Calibri" w:eastAsia="Times New Roman" w:hAnsi="Calibri" w:cs="Calibri"/>
                      <w:b/>
                      <w:bCs/>
                      <w:lang w:eastAsia="en-GB"/>
                    </w:rPr>
                  </w:pPr>
                  <w:r w:rsidRPr="0061200D">
                    <w:rPr>
                      <w:rFonts w:ascii="Calibri" w:eastAsia="Times New Roman" w:hAnsi="Calibri" w:cs="Calibri"/>
                      <w:b/>
                      <w:bCs/>
                      <w:lang w:eastAsia="en-GB"/>
                    </w:rPr>
                    <w:t>12.7</w:t>
                  </w:r>
                </w:p>
              </w:tc>
            </w:tr>
            <w:tr w:rsidR="0061200D" w:rsidRPr="0061200D" w14:paraId="1E5E6BE3" w14:textId="77777777" w:rsidTr="0061200D">
              <w:trPr>
                <w:trHeight w:val="300"/>
              </w:trPr>
              <w:tc>
                <w:tcPr>
                  <w:tcW w:w="6540" w:type="dxa"/>
                  <w:tcBorders>
                    <w:top w:val="nil"/>
                    <w:left w:val="single" w:sz="8" w:space="0" w:color="auto"/>
                    <w:bottom w:val="single" w:sz="8" w:space="0" w:color="auto"/>
                    <w:right w:val="single" w:sz="8" w:space="0" w:color="auto"/>
                  </w:tcBorders>
                  <w:shd w:val="clear" w:color="auto" w:fill="auto"/>
                  <w:noWrap/>
                  <w:vAlign w:val="center"/>
                  <w:hideMark/>
                </w:tcPr>
                <w:p w14:paraId="7F2D2263" w14:textId="77777777" w:rsidR="0061200D" w:rsidRPr="0061200D" w:rsidRDefault="0061200D" w:rsidP="0061200D">
                  <w:pPr>
                    <w:spacing w:after="0" w:line="240" w:lineRule="auto"/>
                    <w:rPr>
                      <w:rFonts w:ascii="Calibri" w:eastAsia="Times New Roman" w:hAnsi="Calibri" w:cs="Calibri"/>
                      <w:color w:val="000000"/>
                      <w:lang w:eastAsia="en-GB"/>
                    </w:rPr>
                  </w:pPr>
                  <w:r w:rsidRPr="0061200D">
                    <w:rPr>
                      <w:rFonts w:ascii="Calibri" w:eastAsia="Times New Roman" w:hAnsi="Calibri" w:cs="Calibri"/>
                      <w:color w:val="000000"/>
                      <w:lang w:eastAsia="en-GB"/>
                    </w:rPr>
                    <w:t>Mental health: reducing Out of Area Placements</w:t>
                  </w:r>
                </w:p>
              </w:tc>
              <w:tc>
                <w:tcPr>
                  <w:tcW w:w="920" w:type="dxa"/>
                  <w:tcBorders>
                    <w:top w:val="nil"/>
                    <w:left w:val="nil"/>
                    <w:bottom w:val="nil"/>
                    <w:right w:val="single" w:sz="8" w:space="0" w:color="auto"/>
                  </w:tcBorders>
                  <w:shd w:val="clear" w:color="000000" w:fill="D9D9D9"/>
                  <w:noWrap/>
                  <w:vAlign w:val="center"/>
                  <w:hideMark/>
                </w:tcPr>
                <w:p w14:paraId="018D2203" w14:textId="77777777" w:rsidR="0061200D" w:rsidRPr="0061200D" w:rsidRDefault="0061200D" w:rsidP="0061200D">
                  <w:pPr>
                    <w:spacing w:after="0" w:line="240" w:lineRule="auto"/>
                    <w:jc w:val="right"/>
                    <w:rPr>
                      <w:rFonts w:ascii="Calibri" w:eastAsia="Times New Roman" w:hAnsi="Calibri" w:cs="Calibri"/>
                      <w:b/>
                      <w:bCs/>
                      <w:lang w:eastAsia="en-GB"/>
                    </w:rPr>
                  </w:pPr>
                  <w:r w:rsidRPr="0061200D">
                    <w:rPr>
                      <w:rFonts w:ascii="Calibri" w:eastAsia="Times New Roman" w:hAnsi="Calibri" w:cs="Calibri"/>
                      <w:b/>
                      <w:bCs/>
                      <w:lang w:eastAsia="en-GB"/>
                    </w:rPr>
                    <w:t>0.8</w:t>
                  </w:r>
                </w:p>
              </w:tc>
            </w:tr>
            <w:tr w:rsidR="0061200D" w:rsidRPr="0061200D" w14:paraId="796CCA9D" w14:textId="77777777" w:rsidTr="0061200D">
              <w:trPr>
                <w:trHeight w:val="300"/>
              </w:trPr>
              <w:tc>
                <w:tcPr>
                  <w:tcW w:w="6540" w:type="dxa"/>
                  <w:tcBorders>
                    <w:top w:val="nil"/>
                    <w:left w:val="single" w:sz="8" w:space="0" w:color="auto"/>
                    <w:bottom w:val="single" w:sz="8" w:space="0" w:color="auto"/>
                    <w:right w:val="single" w:sz="8" w:space="0" w:color="auto"/>
                  </w:tcBorders>
                  <w:shd w:val="clear" w:color="auto" w:fill="auto"/>
                  <w:noWrap/>
                  <w:vAlign w:val="center"/>
                  <w:hideMark/>
                </w:tcPr>
                <w:p w14:paraId="275DB00B" w14:textId="77777777" w:rsidR="0061200D" w:rsidRPr="0061200D" w:rsidRDefault="0061200D" w:rsidP="0061200D">
                  <w:pPr>
                    <w:spacing w:after="0" w:line="240" w:lineRule="auto"/>
                    <w:rPr>
                      <w:rFonts w:ascii="Calibri" w:eastAsia="Times New Roman" w:hAnsi="Calibri" w:cs="Calibri"/>
                      <w:color w:val="000000"/>
                      <w:lang w:eastAsia="en-GB"/>
                    </w:rPr>
                  </w:pPr>
                  <w:r w:rsidRPr="0061200D">
                    <w:rPr>
                      <w:rFonts w:ascii="Calibri" w:eastAsia="Times New Roman" w:hAnsi="Calibri" w:cs="Calibri"/>
                      <w:color w:val="000000"/>
                      <w:lang w:eastAsia="en-GB"/>
                    </w:rPr>
                    <w:t>Mental health dormitories</w:t>
                  </w:r>
                </w:p>
              </w:tc>
              <w:tc>
                <w:tcPr>
                  <w:tcW w:w="920" w:type="dxa"/>
                  <w:tcBorders>
                    <w:top w:val="nil"/>
                    <w:left w:val="nil"/>
                    <w:bottom w:val="nil"/>
                    <w:right w:val="single" w:sz="8" w:space="0" w:color="auto"/>
                  </w:tcBorders>
                  <w:shd w:val="clear" w:color="000000" w:fill="D9D9D9"/>
                  <w:noWrap/>
                  <w:vAlign w:val="center"/>
                  <w:hideMark/>
                </w:tcPr>
                <w:p w14:paraId="50376D66" w14:textId="77777777" w:rsidR="0061200D" w:rsidRPr="0061200D" w:rsidRDefault="0061200D" w:rsidP="0061200D">
                  <w:pPr>
                    <w:spacing w:after="0" w:line="240" w:lineRule="auto"/>
                    <w:jc w:val="right"/>
                    <w:rPr>
                      <w:rFonts w:ascii="Calibri" w:eastAsia="Times New Roman" w:hAnsi="Calibri" w:cs="Calibri"/>
                      <w:b/>
                      <w:bCs/>
                      <w:lang w:eastAsia="en-GB"/>
                    </w:rPr>
                  </w:pPr>
                  <w:r w:rsidRPr="0061200D">
                    <w:rPr>
                      <w:rFonts w:ascii="Calibri" w:eastAsia="Times New Roman" w:hAnsi="Calibri" w:cs="Calibri"/>
                      <w:b/>
                      <w:bCs/>
                      <w:lang w:eastAsia="en-GB"/>
                    </w:rPr>
                    <w:t>0.6</w:t>
                  </w:r>
                </w:p>
              </w:tc>
            </w:tr>
            <w:tr w:rsidR="0061200D" w:rsidRPr="0061200D" w14:paraId="52C729F8" w14:textId="77777777" w:rsidTr="0061200D">
              <w:trPr>
                <w:trHeight w:val="300"/>
              </w:trPr>
              <w:tc>
                <w:tcPr>
                  <w:tcW w:w="6540" w:type="dxa"/>
                  <w:tcBorders>
                    <w:top w:val="nil"/>
                    <w:left w:val="single" w:sz="8" w:space="0" w:color="auto"/>
                    <w:bottom w:val="single" w:sz="8" w:space="0" w:color="auto"/>
                    <w:right w:val="single" w:sz="8" w:space="0" w:color="auto"/>
                  </w:tcBorders>
                  <w:shd w:val="clear" w:color="auto" w:fill="auto"/>
                  <w:vAlign w:val="center"/>
                  <w:hideMark/>
                </w:tcPr>
                <w:p w14:paraId="5DA5E869" w14:textId="77777777" w:rsidR="0061200D" w:rsidRPr="0061200D" w:rsidRDefault="0061200D" w:rsidP="0061200D">
                  <w:pPr>
                    <w:spacing w:after="0" w:line="240" w:lineRule="auto"/>
                    <w:rPr>
                      <w:rFonts w:ascii="Calibri" w:eastAsia="Times New Roman" w:hAnsi="Calibri" w:cs="Calibri"/>
                      <w:color w:val="000000"/>
                      <w:lang w:eastAsia="en-GB"/>
                    </w:rPr>
                  </w:pPr>
                  <w:r w:rsidRPr="0061200D">
                    <w:rPr>
                      <w:rFonts w:ascii="Calibri" w:eastAsia="Times New Roman" w:hAnsi="Calibri" w:cs="Calibri"/>
                      <w:color w:val="000000"/>
                      <w:lang w:eastAsia="en-GB"/>
                    </w:rPr>
                    <w:lastRenderedPageBreak/>
                    <w:t>National Programme Radiotherapy (LINAC)</w:t>
                  </w:r>
                </w:p>
              </w:tc>
              <w:tc>
                <w:tcPr>
                  <w:tcW w:w="920" w:type="dxa"/>
                  <w:tcBorders>
                    <w:top w:val="nil"/>
                    <w:left w:val="nil"/>
                    <w:bottom w:val="nil"/>
                    <w:right w:val="single" w:sz="8" w:space="0" w:color="auto"/>
                  </w:tcBorders>
                  <w:shd w:val="clear" w:color="000000" w:fill="D9D9D9"/>
                  <w:noWrap/>
                  <w:vAlign w:val="center"/>
                  <w:hideMark/>
                </w:tcPr>
                <w:p w14:paraId="40D1FC41" w14:textId="77777777" w:rsidR="0061200D" w:rsidRPr="0061200D" w:rsidRDefault="0061200D" w:rsidP="0061200D">
                  <w:pPr>
                    <w:spacing w:after="0" w:line="240" w:lineRule="auto"/>
                    <w:jc w:val="right"/>
                    <w:rPr>
                      <w:rFonts w:ascii="Calibri" w:eastAsia="Times New Roman" w:hAnsi="Calibri" w:cs="Calibri"/>
                      <w:b/>
                      <w:bCs/>
                      <w:lang w:eastAsia="en-GB"/>
                    </w:rPr>
                  </w:pPr>
                  <w:r w:rsidRPr="0061200D">
                    <w:rPr>
                      <w:rFonts w:ascii="Calibri" w:eastAsia="Times New Roman" w:hAnsi="Calibri" w:cs="Calibri"/>
                      <w:b/>
                      <w:bCs/>
                      <w:lang w:eastAsia="en-GB"/>
                    </w:rPr>
                    <w:t>2.4</w:t>
                  </w:r>
                </w:p>
              </w:tc>
            </w:tr>
            <w:tr w:rsidR="0061200D" w:rsidRPr="0061200D" w14:paraId="4F4ECE81" w14:textId="77777777" w:rsidTr="0061200D">
              <w:trPr>
                <w:trHeight w:val="300"/>
              </w:trPr>
              <w:tc>
                <w:tcPr>
                  <w:tcW w:w="6540" w:type="dxa"/>
                  <w:tcBorders>
                    <w:top w:val="nil"/>
                    <w:left w:val="single" w:sz="8" w:space="0" w:color="auto"/>
                    <w:bottom w:val="single" w:sz="8" w:space="0" w:color="auto"/>
                    <w:right w:val="single" w:sz="8" w:space="0" w:color="auto"/>
                  </w:tcBorders>
                  <w:shd w:val="clear" w:color="auto" w:fill="auto"/>
                  <w:vAlign w:val="center"/>
                  <w:hideMark/>
                </w:tcPr>
                <w:p w14:paraId="3DA1FF90" w14:textId="77777777" w:rsidR="0061200D" w:rsidRPr="0061200D" w:rsidRDefault="0061200D" w:rsidP="0061200D">
                  <w:pPr>
                    <w:spacing w:after="0" w:line="240" w:lineRule="auto"/>
                    <w:rPr>
                      <w:rFonts w:ascii="Calibri" w:eastAsia="Times New Roman" w:hAnsi="Calibri" w:cs="Calibri"/>
                      <w:color w:val="000000"/>
                      <w:lang w:eastAsia="en-GB"/>
                    </w:rPr>
                  </w:pPr>
                  <w:r w:rsidRPr="0061200D">
                    <w:rPr>
                      <w:rFonts w:ascii="Calibri" w:eastAsia="Times New Roman" w:hAnsi="Calibri" w:cs="Calibri"/>
                      <w:color w:val="000000"/>
                      <w:lang w:eastAsia="en-GB"/>
                    </w:rPr>
                    <w:t>Other Adjustments – Provider</w:t>
                  </w:r>
                </w:p>
              </w:tc>
              <w:tc>
                <w:tcPr>
                  <w:tcW w:w="920" w:type="dxa"/>
                  <w:tcBorders>
                    <w:top w:val="nil"/>
                    <w:left w:val="nil"/>
                    <w:bottom w:val="single" w:sz="8" w:space="0" w:color="auto"/>
                    <w:right w:val="single" w:sz="8" w:space="0" w:color="auto"/>
                  </w:tcBorders>
                  <w:shd w:val="clear" w:color="000000" w:fill="D9D9D9"/>
                  <w:noWrap/>
                  <w:vAlign w:val="center"/>
                  <w:hideMark/>
                </w:tcPr>
                <w:p w14:paraId="0AD60371" w14:textId="77777777" w:rsidR="0061200D" w:rsidRPr="0061200D" w:rsidRDefault="0061200D" w:rsidP="0061200D">
                  <w:pPr>
                    <w:spacing w:after="0" w:line="240" w:lineRule="auto"/>
                    <w:jc w:val="right"/>
                    <w:rPr>
                      <w:rFonts w:ascii="Calibri" w:eastAsia="Times New Roman" w:hAnsi="Calibri" w:cs="Calibri"/>
                      <w:b/>
                      <w:bCs/>
                      <w:lang w:eastAsia="en-GB"/>
                    </w:rPr>
                  </w:pPr>
                  <w:r w:rsidRPr="0061200D">
                    <w:rPr>
                      <w:rFonts w:ascii="Calibri" w:eastAsia="Times New Roman" w:hAnsi="Calibri" w:cs="Calibri"/>
                      <w:b/>
                      <w:bCs/>
                      <w:lang w:eastAsia="en-GB"/>
                    </w:rPr>
                    <w:t>6.4</w:t>
                  </w:r>
                </w:p>
              </w:tc>
            </w:tr>
            <w:tr w:rsidR="0061200D" w:rsidRPr="0061200D" w14:paraId="3D650C03" w14:textId="77777777" w:rsidTr="0061200D">
              <w:trPr>
                <w:trHeight w:val="300"/>
              </w:trPr>
              <w:tc>
                <w:tcPr>
                  <w:tcW w:w="6540" w:type="dxa"/>
                  <w:tcBorders>
                    <w:top w:val="nil"/>
                    <w:left w:val="single" w:sz="8" w:space="0" w:color="auto"/>
                    <w:bottom w:val="single" w:sz="8" w:space="0" w:color="auto"/>
                    <w:right w:val="single" w:sz="8" w:space="0" w:color="auto"/>
                  </w:tcBorders>
                  <w:shd w:val="clear" w:color="000000" w:fill="D9D9D9"/>
                  <w:noWrap/>
                  <w:vAlign w:val="center"/>
                  <w:hideMark/>
                </w:tcPr>
                <w:p w14:paraId="1D551D82" w14:textId="77777777" w:rsidR="0061200D" w:rsidRPr="0061200D" w:rsidRDefault="0061200D" w:rsidP="0061200D">
                  <w:pPr>
                    <w:spacing w:after="0" w:line="240" w:lineRule="auto"/>
                    <w:rPr>
                      <w:rFonts w:ascii="Calibri" w:eastAsia="Times New Roman" w:hAnsi="Calibri" w:cs="Calibri"/>
                      <w:b/>
                      <w:bCs/>
                      <w:color w:val="000000"/>
                      <w:lang w:eastAsia="en-GB"/>
                    </w:rPr>
                  </w:pPr>
                  <w:r w:rsidRPr="0061200D">
                    <w:rPr>
                      <w:rFonts w:ascii="Calibri" w:eastAsia="Times New Roman" w:hAnsi="Calibri" w:cs="Calibri"/>
                      <w:b/>
                      <w:bCs/>
                      <w:color w:val="000000"/>
                      <w:lang w:eastAsia="en-GB"/>
                    </w:rPr>
                    <w:t>Sub Total National Programmes</w:t>
                  </w:r>
                </w:p>
              </w:tc>
              <w:tc>
                <w:tcPr>
                  <w:tcW w:w="920" w:type="dxa"/>
                  <w:tcBorders>
                    <w:top w:val="nil"/>
                    <w:left w:val="nil"/>
                    <w:bottom w:val="single" w:sz="8" w:space="0" w:color="auto"/>
                    <w:right w:val="single" w:sz="8" w:space="0" w:color="auto"/>
                  </w:tcBorders>
                  <w:shd w:val="clear" w:color="000000" w:fill="D9D9D9"/>
                  <w:noWrap/>
                  <w:vAlign w:val="center"/>
                  <w:hideMark/>
                </w:tcPr>
                <w:p w14:paraId="6559B441" w14:textId="77777777" w:rsidR="0061200D" w:rsidRPr="0061200D" w:rsidRDefault="0061200D" w:rsidP="0061200D">
                  <w:pPr>
                    <w:spacing w:after="0" w:line="240" w:lineRule="auto"/>
                    <w:jc w:val="right"/>
                    <w:rPr>
                      <w:rFonts w:ascii="Calibri" w:eastAsia="Times New Roman" w:hAnsi="Calibri" w:cs="Calibri"/>
                      <w:b/>
                      <w:bCs/>
                      <w:lang w:eastAsia="en-GB"/>
                    </w:rPr>
                  </w:pPr>
                  <w:r w:rsidRPr="0061200D">
                    <w:rPr>
                      <w:rFonts w:ascii="Calibri" w:eastAsia="Times New Roman" w:hAnsi="Calibri" w:cs="Calibri"/>
                      <w:b/>
                      <w:bCs/>
                      <w:lang w:eastAsia="en-GB"/>
                    </w:rPr>
                    <w:t>43.8</w:t>
                  </w:r>
                </w:p>
              </w:tc>
            </w:tr>
            <w:tr w:rsidR="0061200D" w:rsidRPr="0061200D" w14:paraId="771601AD" w14:textId="77777777" w:rsidTr="0061200D">
              <w:trPr>
                <w:trHeight w:val="300"/>
              </w:trPr>
              <w:tc>
                <w:tcPr>
                  <w:tcW w:w="6540" w:type="dxa"/>
                  <w:tcBorders>
                    <w:top w:val="nil"/>
                    <w:left w:val="single" w:sz="8" w:space="0" w:color="auto"/>
                    <w:bottom w:val="single" w:sz="8" w:space="0" w:color="auto"/>
                    <w:right w:val="single" w:sz="8" w:space="0" w:color="auto"/>
                  </w:tcBorders>
                  <w:shd w:val="clear" w:color="auto" w:fill="auto"/>
                  <w:noWrap/>
                  <w:vAlign w:val="center"/>
                  <w:hideMark/>
                </w:tcPr>
                <w:p w14:paraId="688AA63B" w14:textId="77777777" w:rsidR="0061200D" w:rsidRPr="0061200D" w:rsidRDefault="0061200D" w:rsidP="0061200D">
                  <w:pPr>
                    <w:spacing w:after="0" w:line="240" w:lineRule="auto"/>
                    <w:rPr>
                      <w:rFonts w:ascii="Calibri" w:eastAsia="Times New Roman" w:hAnsi="Calibri" w:cs="Calibri"/>
                      <w:color w:val="000000"/>
                      <w:lang w:eastAsia="en-GB"/>
                    </w:rPr>
                  </w:pPr>
                  <w:r w:rsidRPr="0061200D">
                    <w:rPr>
                      <w:rFonts w:ascii="Calibri" w:eastAsia="Times New Roman" w:hAnsi="Calibri" w:cs="Calibri"/>
                      <w:color w:val="000000"/>
                      <w:lang w:eastAsia="en-GB"/>
                    </w:rPr>
                    <w:t>Return to Constitutional Standards: Diagnostics</w:t>
                  </w:r>
                </w:p>
              </w:tc>
              <w:tc>
                <w:tcPr>
                  <w:tcW w:w="920" w:type="dxa"/>
                  <w:tcBorders>
                    <w:top w:val="nil"/>
                    <w:left w:val="nil"/>
                    <w:bottom w:val="nil"/>
                    <w:right w:val="single" w:sz="8" w:space="0" w:color="auto"/>
                  </w:tcBorders>
                  <w:shd w:val="clear" w:color="000000" w:fill="D9D9D9"/>
                  <w:noWrap/>
                  <w:vAlign w:val="center"/>
                  <w:hideMark/>
                </w:tcPr>
                <w:p w14:paraId="2A1808CA" w14:textId="77777777" w:rsidR="0061200D" w:rsidRPr="0061200D" w:rsidRDefault="0061200D" w:rsidP="0061200D">
                  <w:pPr>
                    <w:spacing w:after="0" w:line="240" w:lineRule="auto"/>
                    <w:jc w:val="right"/>
                    <w:rPr>
                      <w:rFonts w:ascii="Calibri" w:eastAsia="Times New Roman" w:hAnsi="Calibri" w:cs="Calibri"/>
                      <w:b/>
                      <w:bCs/>
                      <w:lang w:eastAsia="en-GB"/>
                    </w:rPr>
                  </w:pPr>
                  <w:r w:rsidRPr="0061200D">
                    <w:rPr>
                      <w:rFonts w:ascii="Calibri" w:eastAsia="Times New Roman" w:hAnsi="Calibri" w:cs="Calibri"/>
                      <w:b/>
                      <w:bCs/>
                      <w:lang w:eastAsia="en-GB"/>
                    </w:rPr>
                    <w:t>9.2</w:t>
                  </w:r>
                </w:p>
              </w:tc>
            </w:tr>
            <w:tr w:rsidR="0061200D" w:rsidRPr="0061200D" w14:paraId="0B2BB8B6" w14:textId="77777777" w:rsidTr="0061200D">
              <w:trPr>
                <w:trHeight w:val="300"/>
              </w:trPr>
              <w:tc>
                <w:tcPr>
                  <w:tcW w:w="6540" w:type="dxa"/>
                  <w:tcBorders>
                    <w:top w:val="nil"/>
                    <w:left w:val="single" w:sz="8" w:space="0" w:color="auto"/>
                    <w:bottom w:val="single" w:sz="8" w:space="0" w:color="auto"/>
                    <w:right w:val="single" w:sz="8" w:space="0" w:color="auto"/>
                  </w:tcBorders>
                  <w:shd w:val="clear" w:color="auto" w:fill="auto"/>
                  <w:noWrap/>
                  <w:vAlign w:val="center"/>
                  <w:hideMark/>
                </w:tcPr>
                <w:p w14:paraId="224B30F3" w14:textId="77777777" w:rsidR="0061200D" w:rsidRPr="0061200D" w:rsidRDefault="0061200D" w:rsidP="0061200D">
                  <w:pPr>
                    <w:spacing w:after="0" w:line="240" w:lineRule="auto"/>
                    <w:rPr>
                      <w:rFonts w:ascii="Calibri" w:eastAsia="Times New Roman" w:hAnsi="Calibri" w:cs="Calibri"/>
                      <w:color w:val="000000"/>
                      <w:lang w:eastAsia="en-GB"/>
                    </w:rPr>
                  </w:pPr>
                  <w:r w:rsidRPr="0061200D">
                    <w:rPr>
                      <w:rFonts w:ascii="Calibri" w:eastAsia="Times New Roman" w:hAnsi="Calibri" w:cs="Calibri"/>
                      <w:color w:val="000000"/>
                      <w:lang w:eastAsia="en-GB"/>
                    </w:rPr>
                    <w:t>Return to Constitutional Standards: Elective</w:t>
                  </w:r>
                </w:p>
              </w:tc>
              <w:tc>
                <w:tcPr>
                  <w:tcW w:w="920" w:type="dxa"/>
                  <w:tcBorders>
                    <w:top w:val="nil"/>
                    <w:left w:val="nil"/>
                    <w:bottom w:val="nil"/>
                    <w:right w:val="single" w:sz="8" w:space="0" w:color="auto"/>
                  </w:tcBorders>
                  <w:shd w:val="clear" w:color="000000" w:fill="D9D9D9"/>
                  <w:noWrap/>
                  <w:vAlign w:val="center"/>
                  <w:hideMark/>
                </w:tcPr>
                <w:p w14:paraId="39A1B1B8" w14:textId="77777777" w:rsidR="0061200D" w:rsidRPr="0061200D" w:rsidRDefault="0061200D" w:rsidP="0061200D">
                  <w:pPr>
                    <w:spacing w:after="0" w:line="240" w:lineRule="auto"/>
                    <w:jc w:val="right"/>
                    <w:rPr>
                      <w:rFonts w:ascii="Calibri" w:eastAsia="Times New Roman" w:hAnsi="Calibri" w:cs="Calibri"/>
                      <w:b/>
                      <w:bCs/>
                      <w:lang w:eastAsia="en-GB"/>
                    </w:rPr>
                  </w:pPr>
                  <w:r w:rsidRPr="0061200D">
                    <w:rPr>
                      <w:rFonts w:ascii="Calibri" w:eastAsia="Times New Roman" w:hAnsi="Calibri" w:cs="Calibri"/>
                      <w:b/>
                      <w:bCs/>
                      <w:lang w:eastAsia="en-GB"/>
                    </w:rPr>
                    <w:t>10.3</w:t>
                  </w:r>
                </w:p>
              </w:tc>
            </w:tr>
            <w:tr w:rsidR="0061200D" w:rsidRPr="0061200D" w14:paraId="4B758162" w14:textId="77777777" w:rsidTr="0061200D">
              <w:trPr>
                <w:trHeight w:val="300"/>
              </w:trPr>
              <w:tc>
                <w:tcPr>
                  <w:tcW w:w="6540" w:type="dxa"/>
                  <w:tcBorders>
                    <w:top w:val="nil"/>
                    <w:left w:val="single" w:sz="8" w:space="0" w:color="auto"/>
                    <w:bottom w:val="single" w:sz="8" w:space="0" w:color="auto"/>
                    <w:right w:val="single" w:sz="8" w:space="0" w:color="auto"/>
                  </w:tcBorders>
                  <w:shd w:val="clear" w:color="auto" w:fill="auto"/>
                  <w:noWrap/>
                  <w:vAlign w:val="center"/>
                  <w:hideMark/>
                </w:tcPr>
                <w:p w14:paraId="2759E1EE" w14:textId="77777777" w:rsidR="0061200D" w:rsidRPr="0061200D" w:rsidRDefault="0061200D" w:rsidP="0061200D">
                  <w:pPr>
                    <w:spacing w:after="0" w:line="240" w:lineRule="auto"/>
                    <w:rPr>
                      <w:rFonts w:ascii="Calibri" w:eastAsia="Times New Roman" w:hAnsi="Calibri" w:cs="Calibri"/>
                      <w:color w:val="000000"/>
                      <w:lang w:eastAsia="en-GB"/>
                    </w:rPr>
                  </w:pPr>
                  <w:r w:rsidRPr="0061200D">
                    <w:rPr>
                      <w:rFonts w:ascii="Calibri" w:eastAsia="Times New Roman" w:hAnsi="Calibri" w:cs="Calibri"/>
                      <w:color w:val="000000"/>
                      <w:lang w:eastAsia="en-GB"/>
                    </w:rPr>
                    <w:t>Return to Constitutional Standards: Urgent &amp; Emergency Care</w:t>
                  </w:r>
                </w:p>
              </w:tc>
              <w:tc>
                <w:tcPr>
                  <w:tcW w:w="920" w:type="dxa"/>
                  <w:tcBorders>
                    <w:top w:val="nil"/>
                    <w:left w:val="nil"/>
                    <w:bottom w:val="nil"/>
                    <w:right w:val="single" w:sz="8" w:space="0" w:color="auto"/>
                  </w:tcBorders>
                  <w:shd w:val="clear" w:color="000000" w:fill="D9D9D9"/>
                  <w:noWrap/>
                  <w:vAlign w:val="center"/>
                  <w:hideMark/>
                </w:tcPr>
                <w:p w14:paraId="3E3D29B3" w14:textId="77777777" w:rsidR="0061200D" w:rsidRPr="0061200D" w:rsidRDefault="0061200D" w:rsidP="0061200D">
                  <w:pPr>
                    <w:spacing w:after="0" w:line="240" w:lineRule="auto"/>
                    <w:jc w:val="right"/>
                    <w:rPr>
                      <w:rFonts w:ascii="Calibri" w:eastAsia="Times New Roman" w:hAnsi="Calibri" w:cs="Calibri"/>
                      <w:b/>
                      <w:bCs/>
                      <w:lang w:eastAsia="en-GB"/>
                    </w:rPr>
                  </w:pPr>
                  <w:r w:rsidRPr="0061200D">
                    <w:rPr>
                      <w:rFonts w:ascii="Calibri" w:eastAsia="Times New Roman" w:hAnsi="Calibri" w:cs="Calibri"/>
                      <w:b/>
                      <w:bCs/>
                      <w:lang w:eastAsia="en-GB"/>
                    </w:rPr>
                    <w:t>16.8</w:t>
                  </w:r>
                </w:p>
              </w:tc>
            </w:tr>
            <w:tr w:rsidR="0061200D" w:rsidRPr="0061200D" w14:paraId="75D39866" w14:textId="77777777" w:rsidTr="0061200D">
              <w:trPr>
                <w:trHeight w:val="300"/>
              </w:trPr>
              <w:tc>
                <w:tcPr>
                  <w:tcW w:w="6540" w:type="dxa"/>
                  <w:tcBorders>
                    <w:top w:val="nil"/>
                    <w:left w:val="single" w:sz="8" w:space="0" w:color="auto"/>
                    <w:bottom w:val="single" w:sz="8" w:space="0" w:color="auto"/>
                    <w:right w:val="single" w:sz="8" w:space="0" w:color="auto"/>
                  </w:tcBorders>
                  <w:shd w:val="clear" w:color="000000" w:fill="D9D9D9"/>
                  <w:noWrap/>
                  <w:vAlign w:val="center"/>
                  <w:hideMark/>
                </w:tcPr>
                <w:p w14:paraId="75F15FC5" w14:textId="7A4DDF75" w:rsidR="0061200D" w:rsidRPr="0061200D" w:rsidRDefault="0061200D" w:rsidP="0061200D">
                  <w:pPr>
                    <w:spacing w:after="0" w:line="240" w:lineRule="auto"/>
                    <w:rPr>
                      <w:rFonts w:ascii="Calibri" w:eastAsia="Times New Roman" w:hAnsi="Calibri" w:cs="Calibri"/>
                      <w:b/>
                      <w:bCs/>
                      <w:color w:val="000000"/>
                      <w:lang w:eastAsia="en-GB"/>
                    </w:rPr>
                  </w:pPr>
                  <w:r w:rsidRPr="0061200D">
                    <w:rPr>
                      <w:rFonts w:ascii="Calibri" w:eastAsia="Times New Roman" w:hAnsi="Calibri" w:cs="Calibri"/>
                      <w:b/>
                      <w:bCs/>
                      <w:color w:val="000000"/>
                      <w:lang w:eastAsia="en-GB"/>
                    </w:rPr>
                    <w:t xml:space="preserve">Sub </w:t>
                  </w:r>
                  <w:r>
                    <w:rPr>
                      <w:rFonts w:ascii="Calibri" w:eastAsia="Times New Roman" w:hAnsi="Calibri" w:cs="Calibri"/>
                      <w:b/>
                      <w:bCs/>
                      <w:color w:val="000000"/>
                      <w:lang w:eastAsia="en-GB"/>
                    </w:rPr>
                    <w:t>T</w:t>
                  </w:r>
                  <w:r w:rsidRPr="0061200D">
                    <w:rPr>
                      <w:rFonts w:ascii="Calibri" w:eastAsia="Times New Roman" w:hAnsi="Calibri" w:cs="Calibri"/>
                      <w:b/>
                      <w:bCs/>
                      <w:color w:val="000000"/>
                      <w:lang w:eastAsia="en-GB"/>
                    </w:rPr>
                    <w:t>otal Return to Constitutional Standards</w:t>
                  </w:r>
                </w:p>
              </w:tc>
              <w:tc>
                <w:tcPr>
                  <w:tcW w:w="920" w:type="dxa"/>
                  <w:tcBorders>
                    <w:top w:val="single" w:sz="8" w:space="0" w:color="auto"/>
                    <w:left w:val="nil"/>
                    <w:bottom w:val="single" w:sz="8" w:space="0" w:color="auto"/>
                    <w:right w:val="single" w:sz="8" w:space="0" w:color="auto"/>
                  </w:tcBorders>
                  <w:shd w:val="clear" w:color="000000" w:fill="D9D9D9"/>
                  <w:noWrap/>
                  <w:vAlign w:val="center"/>
                  <w:hideMark/>
                </w:tcPr>
                <w:p w14:paraId="47F3FA3C" w14:textId="77777777" w:rsidR="0061200D" w:rsidRPr="0061200D" w:rsidRDefault="0061200D" w:rsidP="0061200D">
                  <w:pPr>
                    <w:spacing w:after="0" w:line="240" w:lineRule="auto"/>
                    <w:jc w:val="right"/>
                    <w:rPr>
                      <w:rFonts w:ascii="Calibri" w:eastAsia="Times New Roman" w:hAnsi="Calibri" w:cs="Calibri"/>
                      <w:b/>
                      <w:bCs/>
                      <w:lang w:eastAsia="en-GB"/>
                    </w:rPr>
                  </w:pPr>
                  <w:r w:rsidRPr="0061200D">
                    <w:rPr>
                      <w:rFonts w:ascii="Calibri" w:eastAsia="Times New Roman" w:hAnsi="Calibri" w:cs="Calibri"/>
                      <w:b/>
                      <w:bCs/>
                      <w:lang w:eastAsia="en-GB"/>
                    </w:rPr>
                    <w:t>36.3</w:t>
                  </w:r>
                </w:p>
              </w:tc>
            </w:tr>
            <w:tr w:rsidR="0061200D" w:rsidRPr="0061200D" w14:paraId="7E9FD525" w14:textId="77777777" w:rsidTr="0061200D">
              <w:trPr>
                <w:trHeight w:val="300"/>
              </w:trPr>
              <w:tc>
                <w:tcPr>
                  <w:tcW w:w="6540" w:type="dxa"/>
                  <w:tcBorders>
                    <w:top w:val="nil"/>
                    <w:left w:val="single" w:sz="8" w:space="0" w:color="auto"/>
                    <w:bottom w:val="single" w:sz="8" w:space="0" w:color="auto"/>
                    <w:right w:val="single" w:sz="8" w:space="0" w:color="auto"/>
                  </w:tcBorders>
                  <w:shd w:val="clear" w:color="000000" w:fill="D9D9D9"/>
                  <w:noWrap/>
                  <w:vAlign w:val="center"/>
                  <w:hideMark/>
                </w:tcPr>
                <w:p w14:paraId="518A81A2" w14:textId="378F92CE" w:rsidR="0061200D" w:rsidRPr="0061200D" w:rsidRDefault="0061200D" w:rsidP="0061200D">
                  <w:pPr>
                    <w:spacing w:after="0" w:line="240" w:lineRule="auto"/>
                    <w:rPr>
                      <w:rFonts w:ascii="Calibri" w:eastAsia="Times New Roman" w:hAnsi="Calibri" w:cs="Calibri"/>
                      <w:b/>
                      <w:bCs/>
                      <w:color w:val="000000"/>
                      <w:lang w:eastAsia="en-GB"/>
                    </w:rPr>
                  </w:pPr>
                  <w:r w:rsidRPr="0061200D">
                    <w:rPr>
                      <w:rFonts w:ascii="Calibri" w:eastAsia="Times New Roman" w:hAnsi="Calibri" w:cs="Calibri"/>
                      <w:b/>
                      <w:bCs/>
                      <w:color w:val="000000"/>
                      <w:lang w:eastAsia="en-GB"/>
                    </w:rPr>
                    <w:t xml:space="preserve">TOTAL CDEL </w:t>
                  </w:r>
                  <w:r w:rsidR="00606C61">
                    <w:rPr>
                      <w:rFonts w:ascii="Calibri" w:eastAsia="Times New Roman" w:hAnsi="Calibri" w:cs="Calibri"/>
                      <w:b/>
                      <w:bCs/>
                      <w:color w:val="000000"/>
                      <w:lang w:eastAsia="en-GB"/>
                    </w:rPr>
                    <w:t>and ICB capital</w:t>
                  </w:r>
                </w:p>
              </w:tc>
              <w:tc>
                <w:tcPr>
                  <w:tcW w:w="920" w:type="dxa"/>
                  <w:tcBorders>
                    <w:top w:val="nil"/>
                    <w:left w:val="nil"/>
                    <w:bottom w:val="single" w:sz="8" w:space="0" w:color="auto"/>
                    <w:right w:val="single" w:sz="8" w:space="0" w:color="auto"/>
                  </w:tcBorders>
                  <w:shd w:val="clear" w:color="000000" w:fill="D9D9D9"/>
                  <w:noWrap/>
                  <w:vAlign w:val="center"/>
                  <w:hideMark/>
                </w:tcPr>
                <w:p w14:paraId="499BF200" w14:textId="19FFBD22" w:rsidR="0061200D" w:rsidRPr="0061200D" w:rsidRDefault="00606C61" w:rsidP="0061200D">
                  <w:pPr>
                    <w:spacing w:after="0" w:line="240" w:lineRule="auto"/>
                    <w:jc w:val="right"/>
                    <w:rPr>
                      <w:rFonts w:ascii="Calibri" w:eastAsia="Times New Roman" w:hAnsi="Calibri" w:cs="Calibri"/>
                      <w:b/>
                      <w:bCs/>
                      <w:color w:val="000000"/>
                      <w:lang w:eastAsia="en-GB"/>
                    </w:rPr>
                  </w:pPr>
                  <w:r>
                    <w:rPr>
                      <w:rFonts w:ascii="Calibri" w:eastAsia="Times New Roman" w:hAnsi="Calibri" w:cs="Calibri"/>
                      <w:b/>
                      <w:bCs/>
                      <w:color w:val="000000"/>
                      <w:lang w:eastAsia="en-GB"/>
                    </w:rPr>
                    <w:t>171.4</w:t>
                  </w:r>
                </w:p>
              </w:tc>
            </w:tr>
          </w:tbl>
          <w:p w14:paraId="708E6F95" w14:textId="77777777" w:rsidR="00CF5382" w:rsidRPr="00036AD4" w:rsidRDefault="00CF5382" w:rsidP="003708C8">
            <w:pPr>
              <w:rPr>
                <w:sz w:val="24"/>
                <w:szCs w:val="24"/>
              </w:rPr>
            </w:pPr>
          </w:p>
          <w:p w14:paraId="1207337D" w14:textId="2E8FDC86" w:rsidR="000812D0" w:rsidRPr="00036AD4" w:rsidRDefault="000812D0" w:rsidP="003708C8">
            <w:pPr>
              <w:rPr>
                <w:sz w:val="24"/>
                <w:szCs w:val="24"/>
              </w:rPr>
            </w:pPr>
            <w:r w:rsidRPr="00036AD4">
              <w:rPr>
                <w:sz w:val="24"/>
                <w:szCs w:val="24"/>
              </w:rPr>
              <w:t>Th</w:t>
            </w:r>
            <w:r w:rsidR="002749BE" w:rsidRPr="00036AD4">
              <w:rPr>
                <w:sz w:val="24"/>
                <w:szCs w:val="24"/>
              </w:rPr>
              <w:t xml:space="preserve">e table </w:t>
            </w:r>
            <w:r w:rsidRPr="00036AD4">
              <w:rPr>
                <w:sz w:val="24"/>
                <w:szCs w:val="24"/>
              </w:rPr>
              <w:t>includes an indicative amount of £</w:t>
            </w:r>
            <w:r w:rsidR="001219F4" w:rsidRPr="00036AD4">
              <w:rPr>
                <w:sz w:val="24"/>
                <w:szCs w:val="24"/>
              </w:rPr>
              <w:t>36.3m</w:t>
            </w:r>
            <w:r w:rsidRPr="00036AD4">
              <w:rPr>
                <w:sz w:val="24"/>
                <w:szCs w:val="24"/>
              </w:rPr>
              <w:t xml:space="preserve"> for Return to Constitutional Standards</w:t>
            </w:r>
            <w:r w:rsidR="001F0569" w:rsidRPr="00036AD4">
              <w:rPr>
                <w:sz w:val="24"/>
                <w:szCs w:val="24"/>
              </w:rPr>
              <w:t xml:space="preserve"> as advised by NHSE.</w:t>
            </w:r>
            <w:r w:rsidRPr="00036AD4">
              <w:rPr>
                <w:sz w:val="24"/>
                <w:szCs w:val="24"/>
              </w:rPr>
              <w:t xml:space="preserve"> Following publication of the planning guidance, it has been confirmed that resource has been made available nationally for 2025/26 to support the delivery of a return to constitutional performance standards. Systems have been provided an indicative allocation across Diagnostics, Electives and UEC programmes.  </w:t>
            </w:r>
          </w:p>
          <w:p w14:paraId="423108BA" w14:textId="77777777" w:rsidR="000812D0" w:rsidRPr="00036AD4" w:rsidRDefault="000812D0" w:rsidP="003708C8">
            <w:pPr>
              <w:rPr>
                <w:sz w:val="24"/>
                <w:szCs w:val="24"/>
              </w:rPr>
            </w:pPr>
          </w:p>
          <w:p w14:paraId="29D5F306" w14:textId="44CB01FA" w:rsidR="000812D0" w:rsidRPr="00036AD4" w:rsidRDefault="000812D0" w:rsidP="003708C8">
            <w:pPr>
              <w:rPr>
                <w:sz w:val="24"/>
                <w:szCs w:val="24"/>
              </w:rPr>
            </w:pPr>
            <w:r w:rsidRPr="00036AD4">
              <w:rPr>
                <w:sz w:val="24"/>
                <w:szCs w:val="24"/>
              </w:rPr>
              <w:t>Bids have been submitted to NHSE for the indicative amount w</w:t>
            </w:r>
            <w:r w:rsidR="001219F4" w:rsidRPr="00036AD4">
              <w:rPr>
                <w:sz w:val="24"/>
                <w:szCs w:val="24"/>
              </w:rPr>
              <w:t>ill panels being held across NHSE Capital and Prog</w:t>
            </w:r>
            <w:r w:rsidR="00D70CE9" w:rsidRPr="00036AD4">
              <w:rPr>
                <w:sz w:val="24"/>
                <w:szCs w:val="24"/>
              </w:rPr>
              <w:t>r</w:t>
            </w:r>
            <w:r w:rsidR="001219F4" w:rsidRPr="00036AD4">
              <w:rPr>
                <w:sz w:val="24"/>
                <w:szCs w:val="24"/>
              </w:rPr>
              <w:t xml:space="preserve">amme teams and regions to consider the system schemes and to approve system prioritisation of spend between the </w:t>
            </w:r>
            <w:r w:rsidR="00725CB6" w:rsidRPr="00036AD4">
              <w:rPr>
                <w:sz w:val="24"/>
                <w:szCs w:val="24"/>
              </w:rPr>
              <w:t>1</w:t>
            </w:r>
            <w:r w:rsidR="00725CB6">
              <w:rPr>
                <w:sz w:val="24"/>
                <w:szCs w:val="24"/>
              </w:rPr>
              <w:t>0</w:t>
            </w:r>
            <w:r w:rsidR="00725CB6" w:rsidRPr="00960987">
              <w:rPr>
                <w:sz w:val="24"/>
                <w:szCs w:val="24"/>
                <w:vertAlign w:val="superscript"/>
              </w:rPr>
              <w:t>th</w:t>
            </w:r>
            <w:r w:rsidR="00725CB6">
              <w:rPr>
                <w:sz w:val="24"/>
                <w:szCs w:val="24"/>
              </w:rPr>
              <w:t xml:space="preserve"> of </w:t>
            </w:r>
            <w:r w:rsidR="001219F4" w:rsidRPr="00036AD4">
              <w:rPr>
                <w:sz w:val="24"/>
                <w:szCs w:val="24"/>
              </w:rPr>
              <w:t>March and the end of April 2025. In addition</w:t>
            </w:r>
            <w:r w:rsidR="001F0569" w:rsidRPr="00036AD4">
              <w:rPr>
                <w:sz w:val="24"/>
                <w:szCs w:val="24"/>
              </w:rPr>
              <w:t>,</w:t>
            </w:r>
            <w:r w:rsidR="001219F4" w:rsidRPr="00036AD4">
              <w:rPr>
                <w:sz w:val="24"/>
                <w:szCs w:val="24"/>
              </w:rPr>
              <w:t xml:space="preserve"> the system submitted bids for potential further funding</w:t>
            </w:r>
            <w:r w:rsidR="001F0569" w:rsidRPr="00036AD4">
              <w:rPr>
                <w:sz w:val="24"/>
                <w:szCs w:val="24"/>
              </w:rPr>
              <w:t xml:space="preserve"> </w:t>
            </w:r>
            <w:r w:rsidR="001219F4" w:rsidRPr="00036AD4">
              <w:rPr>
                <w:sz w:val="24"/>
                <w:szCs w:val="24"/>
              </w:rPr>
              <w:t>i</w:t>
            </w:r>
            <w:r w:rsidR="001F0569" w:rsidRPr="00036AD4">
              <w:rPr>
                <w:sz w:val="24"/>
                <w:szCs w:val="24"/>
              </w:rPr>
              <w:t>f</w:t>
            </w:r>
            <w:r w:rsidR="001219F4" w:rsidRPr="00036AD4">
              <w:rPr>
                <w:sz w:val="24"/>
                <w:szCs w:val="24"/>
              </w:rPr>
              <w:t xml:space="preserve"> </w:t>
            </w:r>
            <w:r w:rsidR="001F0569" w:rsidRPr="00036AD4">
              <w:rPr>
                <w:sz w:val="24"/>
                <w:szCs w:val="24"/>
              </w:rPr>
              <w:t>any becomes available</w:t>
            </w:r>
            <w:r w:rsidR="001219F4" w:rsidRPr="00036AD4">
              <w:rPr>
                <w:sz w:val="24"/>
                <w:szCs w:val="24"/>
              </w:rPr>
              <w:t xml:space="preserve"> following the first process against system</w:t>
            </w:r>
            <w:r w:rsidR="001F0569" w:rsidRPr="00036AD4">
              <w:rPr>
                <w:sz w:val="24"/>
                <w:szCs w:val="24"/>
              </w:rPr>
              <w:t>s</w:t>
            </w:r>
            <w:r w:rsidR="001219F4" w:rsidRPr="00036AD4">
              <w:rPr>
                <w:sz w:val="24"/>
                <w:szCs w:val="24"/>
              </w:rPr>
              <w:t>’ indicative allocations.</w:t>
            </w:r>
          </w:p>
          <w:p w14:paraId="516F9D4D" w14:textId="77777777" w:rsidR="001219F4" w:rsidRPr="00960987" w:rsidRDefault="001219F4" w:rsidP="003708C8">
            <w:pPr>
              <w:rPr>
                <w:sz w:val="24"/>
                <w:szCs w:val="24"/>
              </w:rPr>
            </w:pPr>
          </w:p>
          <w:p w14:paraId="64D0A496" w14:textId="77777777" w:rsidR="004E364E" w:rsidRPr="00036AD4" w:rsidRDefault="004E364E" w:rsidP="004E364E">
            <w:pPr>
              <w:rPr>
                <w:b/>
                <w:bCs/>
                <w:sz w:val="24"/>
                <w:szCs w:val="24"/>
                <w:u w:val="single"/>
              </w:rPr>
            </w:pPr>
            <w:r w:rsidRPr="00036AD4">
              <w:rPr>
                <w:b/>
                <w:bCs/>
                <w:sz w:val="24"/>
                <w:szCs w:val="24"/>
                <w:u w:val="single"/>
              </w:rPr>
              <w:t>Return to Constitutional Standards</w:t>
            </w:r>
          </w:p>
          <w:p w14:paraId="0FC3012C" w14:textId="63789CA0" w:rsidR="004E364E" w:rsidRPr="00036AD4" w:rsidRDefault="004E364E" w:rsidP="004E364E">
            <w:pPr>
              <w:rPr>
                <w:sz w:val="24"/>
                <w:szCs w:val="24"/>
              </w:rPr>
            </w:pPr>
            <w:r w:rsidRPr="00036AD4">
              <w:rPr>
                <w:b/>
                <w:bCs/>
                <w:sz w:val="24"/>
                <w:szCs w:val="24"/>
              </w:rPr>
              <w:t>Diagnostics</w:t>
            </w:r>
            <w:r w:rsidRPr="00036AD4">
              <w:rPr>
                <w:sz w:val="24"/>
                <w:szCs w:val="24"/>
              </w:rPr>
              <w:t xml:space="preserve"> - </w:t>
            </w:r>
            <w:r w:rsidR="002749BE" w:rsidRPr="00036AD4">
              <w:rPr>
                <w:sz w:val="24"/>
                <w:szCs w:val="24"/>
              </w:rPr>
              <w:t>e</w:t>
            </w:r>
            <w:r w:rsidRPr="00036AD4">
              <w:rPr>
                <w:sz w:val="24"/>
                <w:szCs w:val="24"/>
              </w:rPr>
              <w:t xml:space="preserve">ach system </w:t>
            </w:r>
            <w:r w:rsidR="002749BE" w:rsidRPr="00036AD4">
              <w:rPr>
                <w:sz w:val="24"/>
                <w:szCs w:val="24"/>
              </w:rPr>
              <w:t xml:space="preserve">has been </w:t>
            </w:r>
            <w:r w:rsidRPr="00036AD4">
              <w:rPr>
                <w:sz w:val="24"/>
                <w:szCs w:val="24"/>
              </w:rPr>
              <w:t>provided with an indicative total of additional elective waiting list diagnostic activity it needs to deliver in 2025/26 compared to 2024/25 to meet the government’s target of Referral to Treatment (RTT) target at 118% by the national Diagnostics team. This elective waiting list activity total is broken down by diagnostic modality.</w:t>
            </w:r>
          </w:p>
          <w:p w14:paraId="153F2DF1" w14:textId="77777777" w:rsidR="00CF5382" w:rsidRPr="00036AD4" w:rsidRDefault="00CF5382" w:rsidP="004E364E">
            <w:pPr>
              <w:rPr>
                <w:sz w:val="24"/>
                <w:szCs w:val="24"/>
              </w:rPr>
            </w:pPr>
          </w:p>
          <w:p w14:paraId="1D41C4F7" w14:textId="09A56D9D" w:rsidR="008A6498" w:rsidRPr="00036AD4" w:rsidRDefault="004E364E" w:rsidP="004040CF">
            <w:pPr>
              <w:rPr>
                <w:sz w:val="24"/>
                <w:szCs w:val="24"/>
              </w:rPr>
            </w:pPr>
            <w:r w:rsidRPr="00036AD4">
              <w:rPr>
                <w:b/>
                <w:bCs/>
                <w:sz w:val="24"/>
                <w:szCs w:val="24"/>
              </w:rPr>
              <w:t>Elective</w:t>
            </w:r>
            <w:r w:rsidRPr="00036AD4">
              <w:rPr>
                <w:sz w:val="24"/>
                <w:szCs w:val="24"/>
              </w:rPr>
              <w:t xml:space="preserve"> – the government has committed to achieving the NHS Constitutional standard that 92% of patients should wait no longer than 18 weeks from Referral to Treatment (RTT) by the end of this parliament. To deliver the additional activity required to return to the 18-week standard, modelling shows that a combination of additional bed capacity, increased day case rates, and improved planning and utilisation of theatre capacity is needed. This can be supported through investment in elective facilities</w:t>
            </w:r>
            <w:r w:rsidR="002749BE" w:rsidRPr="00036AD4">
              <w:rPr>
                <w:sz w:val="24"/>
                <w:szCs w:val="24"/>
              </w:rPr>
              <w:t>.</w:t>
            </w:r>
            <w:r w:rsidR="004040CF" w:rsidRPr="00036AD4">
              <w:rPr>
                <w:sz w:val="24"/>
                <w:szCs w:val="24"/>
              </w:rPr>
              <w:t xml:space="preserve"> </w:t>
            </w:r>
          </w:p>
          <w:p w14:paraId="23F8D9CF" w14:textId="77777777" w:rsidR="00CF5382" w:rsidRPr="00036AD4" w:rsidRDefault="00CF5382" w:rsidP="004040CF">
            <w:pPr>
              <w:rPr>
                <w:sz w:val="24"/>
                <w:szCs w:val="24"/>
              </w:rPr>
            </w:pPr>
          </w:p>
          <w:p w14:paraId="0041C3D9" w14:textId="77777777" w:rsidR="009B4149" w:rsidRPr="00036AD4" w:rsidRDefault="001F0569" w:rsidP="009B4149">
            <w:pPr>
              <w:rPr>
                <w:sz w:val="24"/>
                <w:szCs w:val="24"/>
              </w:rPr>
            </w:pPr>
            <w:r w:rsidRPr="00036AD4">
              <w:rPr>
                <w:b/>
                <w:bCs/>
                <w:sz w:val="24"/>
                <w:szCs w:val="24"/>
              </w:rPr>
              <w:t>Urgent and Emergency Care</w:t>
            </w:r>
            <w:r w:rsidRPr="00036AD4">
              <w:rPr>
                <w:sz w:val="24"/>
                <w:szCs w:val="24"/>
              </w:rPr>
              <w:t xml:space="preserve"> - the intent behind the UEC funding is to make a meaningful contribution to returning systems and providers back to constitutional standards for ED 4-hour performance and / or Ambulance Category 2 Response performance.</w:t>
            </w:r>
          </w:p>
          <w:p w14:paraId="0C1A0795" w14:textId="77777777" w:rsidR="00036AD4" w:rsidRPr="00960987" w:rsidRDefault="00036AD4" w:rsidP="009B4149">
            <w:pPr>
              <w:rPr>
                <w:sz w:val="24"/>
                <w:szCs w:val="24"/>
              </w:rPr>
            </w:pPr>
          </w:p>
          <w:p w14:paraId="5C93CC0B" w14:textId="77777777" w:rsidR="00036AD4" w:rsidRPr="00960987" w:rsidRDefault="00036AD4" w:rsidP="009B4149">
            <w:pPr>
              <w:rPr>
                <w:b/>
                <w:bCs/>
                <w:sz w:val="24"/>
                <w:szCs w:val="24"/>
                <w:u w:val="single"/>
              </w:rPr>
            </w:pPr>
            <w:r w:rsidRPr="00960987">
              <w:rPr>
                <w:b/>
                <w:bCs/>
                <w:sz w:val="24"/>
                <w:szCs w:val="24"/>
                <w:u w:val="single"/>
              </w:rPr>
              <w:t>Mental Health Out of Area Placements (Localising Care)</w:t>
            </w:r>
          </w:p>
          <w:p w14:paraId="09476D7B" w14:textId="66658ECF" w:rsidR="00036AD4" w:rsidRPr="00960987" w:rsidRDefault="00036AD4" w:rsidP="00036AD4">
            <w:pPr>
              <w:rPr>
                <w:sz w:val="24"/>
                <w:szCs w:val="24"/>
              </w:rPr>
            </w:pPr>
            <w:r w:rsidRPr="00960987">
              <w:rPr>
                <w:sz w:val="24"/>
                <w:szCs w:val="24"/>
              </w:rPr>
              <w:t xml:space="preserve">Bids were submitted to NHSE to assist in reducing one or more of the </w:t>
            </w:r>
            <w:r w:rsidR="00725CB6" w:rsidRPr="00725CB6">
              <w:rPr>
                <w:sz w:val="24"/>
                <w:szCs w:val="24"/>
              </w:rPr>
              <w:t>following: -</w:t>
            </w:r>
          </w:p>
          <w:p w14:paraId="40814B21" w14:textId="2F0B30C8" w:rsidR="00036AD4" w:rsidRPr="00960987" w:rsidRDefault="00036AD4" w:rsidP="00960987">
            <w:pPr>
              <w:pStyle w:val="ListParagraph"/>
              <w:numPr>
                <w:ilvl w:val="0"/>
                <w:numId w:val="47"/>
              </w:numPr>
              <w:rPr>
                <w:sz w:val="24"/>
                <w:szCs w:val="24"/>
              </w:rPr>
            </w:pPr>
            <w:r w:rsidRPr="00960987">
              <w:rPr>
                <w:sz w:val="24"/>
                <w:szCs w:val="24"/>
              </w:rPr>
              <w:t>Out-of-area placements (OAP)s in Acute Care or Psychiatric Intensive Care Units (PICUs)</w:t>
            </w:r>
          </w:p>
          <w:p w14:paraId="3B2BFFE3" w14:textId="5C5906EC" w:rsidR="00036AD4" w:rsidRPr="00960987" w:rsidRDefault="00036AD4" w:rsidP="00960987">
            <w:pPr>
              <w:pStyle w:val="ListParagraph"/>
              <w:numPr>
                <w:ilvl w:val="0"/>
                <w:numId w:val="47"/>
              </w:numPr>
              <w:rPr>
                <w:sz w:val="24"/>
                <w:szCs w:val="24"/>
              </w:rPr>
            </w:pPr>
            <w:r w:rsidRPr="00960987">
              <w:rPr>
                <w:sz w:val="24"/>
                <w:szCs w:val="24"/>
              </w:rPr>
              <w:t>Mental Health Learning Disability and Autism inpatient rehabilitation placements far from home</w:t>
            </w:r>
          </w:p>
          <w:p w14:paraId="3C48967A" w14:textId="6497294C" w:rsidR="00036AD4" w:rsidRPr="00960987" w:rsidRDefault="00036AD4" w:rsidP="00960987">
            <w:pPr>
              <w:pStyle w:val="ListParagraph"/>
              <w:numPr>
                <w:ilvl w:val="0"/>
                <w:numId w:val="47"/>
              </w:numPr>
              <w:rPr>
                <w:sz w:val="24"/>
                <w:szCs w:val="24"/>
              </w:rPr>
            </w:pPr>
            <w:r w:rsidRPr="00960987">
              <w:rPr>
                <w:sz w:val="24"/>
                <w:szCs w:val="24"/>
              </w:rPr>
              <w:t>Placements outside Natural Clinical Flow (ONCF) in Adult Forensic Medium &amp; Low Secure Services and Children and Young People Inpatient services</w:t>
            </w:r>
          </w:p>
        </w:tc>
      </w:tr>
    </w:tbl>
    <w:p w14:paraId="0A0C895D" w14:textId="77777777" w:rsidR="00E80F82" w:rsidRDefault="00E80F82">
      <w:pPr>
        <w:rPr>
          <w:b/>
          <w:bCs/>
          <w:color w:val="FF0000"/>
          <w:sz w:val="24"/>
          <w:szCs w:val="24"/>
        </w:rPr>
      </w:pPr>
    </w:p>
    <w:tbl>
      <w:tblPr>
        <w:tblStyle w:val="TableGrid"/>
        <w:tblW w:w="9498" w:type="dxa"/>
        <w:tblInd w:w="-28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498"/>
      </w:tblGrid>
      <w:tr w:rsidR="00975F7E" w:rsidRPr="000458A0" w14:paraId="72D2D9B5" w14:textId="77777777" w:rsidTr="00960987">
        <w:trPr>
          <w:trHeight w:val="605"/>
        </w:trPr>
        <w:tc>
          <w:tcPr>
            <w:tcW w:w="9498" w:type="dxa"/>
            <w:shd w:val="clear" w:color="auto" w:fill="2F5496" w:themeFill="accent1" w:themeFillShade="BF"/>
            <w:vAlign w:val="center"/>
          </w:tcPr>
          <w:p w14:paraId="635945AD" w14:textId="77777777" w:rsidR="00975F7E" w:rsidRPr="000458A0" w:rsidRDefault="00975F7E" w:rsidP="007C1067">
            <w:pPr>
              <w:rPr>
                <w:b/>
                <w:bCs/>
                <w:color w:val="FFFFFF" w:themeColor="background1"/>
                <w:sz w:val="24"/>
                <w:szCs w:val="24"/>
              </w:rPr>
            </w:pPr>
            <w:r w:rsidRPr="000458A0">
              <w:rPr>
                <w:b/>
                <w:bCs/>
                <w:color w:val="FFFFFF" w:themeColor="background1"/>
                <w:sz w:val="24"/>
                <w:szCs w:val="24"/>
              </w:rPr>
              <w:lastRenderedPageBreak/>
              <w:t>Risks and Contingencies</w:t>
            </w:r>
          </w:p>
        </w:tc>
      </w:tr>
      <w:tr w:rsidR="00975F7E" w:rsidRPr="00C44A42" w14:paraId="45189A2E" w14:textId="77777777" w:rsidTr="00960987">
        <w:trPr>
          <w:trHeight w:val="11206"/>
        </w:trPr>
        <w:tc>
          <w:tcPr>
            <w:tcW w:w="9498" w:type="dxa"/>
            <w:shd w:val="clear" w:color="auto" w:fill="FFFFFF" w:themeFill="background1"/>
          </w:tcPr>
          <w:p w14:paraId="1DF6F496" w14:textId="77777777" w:rsidR="00975F7E" w:rsidRPr="00C44A42" w:rsidRDefault="00975F7E" w:rsidP="00C44A42">
            <w:pPr>
              <w:rPr>
                <w:sz w:val="24"/>
                <w:szCs w:val="24"/>
              </w:rPr>
            </w:pPr>
            <w:r w:rsidRPr="00C44A42">
              <w:rPr>
                <w:sz w:val="24"/>
                <w:szCs w:val="24"/>
              </w:rPr>
              <w:t>Given current economic and supply chain issues, increased costs for planned schemes are a significant risk to in-year delivery.  To address this system partners have instigated enhanced business case scrutiny, tight management of scheme specifications and firm cost control as schemes progress.</w:t>
            </w:r>
          </w:p>
          <w:p w14:paraId="2611CD79" w14:textId="77777777" w:rsidR="00975F7E" w:rsidRPr="00C44A42" w:rsidRDefault="00975F7E" w:rsidP="00C44A42">
            <w:pPr>
              <w:rPr>
                <w:sz w:val="24"/>
                <w:szCs w:val="24"/>
              </w:rPr>
            </w:pPr>
          </w:p>
          <w:p w14:paraId="14047087" w14:textId="79E51CBF" w:rsidR="00975F7E" w:rsidRPr="00C44A42" w:rsidRDefault="00975F7E" w:rsidP="00C44A42">
            <w:pPr>
              <w:rPr>
                <w:sz w:val="24"/>
                <w:szCs w:val="24"/>
              </w:rPr>
            </w:pPr>
            <w:r w:rsidRPr="00C44A42">
              <w:rPr>
                <w:sz w:val="24"/>
                <w:szCs w:val="24"/>
              </w:rPr>
              <w:t>In addition, the following organisation specific risks have been recognised within the plan</w:t>
            </w:r>
            <w:r w:rsidR="001F0569">
              <w:rPr>
                <w:sz w:val="24"/>
                <w:szCs w:val="24"/>
              </w:rPr>
              <w:t>.</w:t>
            </w:r>
          </w:p>
          <w:p w14:paraId="095DAF28" w14:textId="77777777" w:rsidR="00975F7E" w:rsidRPr="00C44A42" w:rsidRDefault="00975F7E" w:rsidP="00C44A42">
            <w:pPr>
              <w:rPr>
                <w:sz w:val="24"/>
                <w:szCs w:val="24"/>
              </w:rPr>
            </w:pPr>
          </w:p>
          <w:p w14:paraId="6A154947" w14:textId="77777777" w:rsidR="00975F7E" w:rsidRPr="00C44A42" w:rsidRDefault="00975F7E" w:rsidP="00C44A42">
            <w:pPr>
              <w:rPr>
                <w:b/>
                <w:bCs/>
                <w:sz w:val="24"/>
                <w:szCs w:val="24"/>
                <w:u w:val="single"/>
              </w:rPr>
            </w:pPr>
            <w:bookmarkStart w:id="0" w:name="_Hlk132126645"/>
            <w:r w:rsidRPr="00C44A42">
              <w:rPr>
                <w:b/>
                <w:bCs/>
                <w:sz w:val="24"/>
                <w:szCs w:val="24"/>
                <w:u w:val="single"/>
              </w:rPr>
              <w:t>Nottingham University Hospitals</w:t>
            </w:r>
          </w:p>
          <w:p w14:paraId="4DA90807" w14:textId="77777777" w:rsidR="00975F7E" w:rsidRDefault="00975F7E" w:rsidP="00C44A42">
            <w:pPr>
              <w:pStyle w:val="ListParagraph"/>
              <w:numPr>
                <w:ilvl w:val="0"/>
                <w:numId w:val="19"/>
              </w:numPr>
              <w:rPr>
                <w:sz w:val="24"/>
                <w:szCs w:val="24"/>
              </w:rPr>
            </w:pPr>
            <w:r w:rsidRPr="00C44A42">
              <w:rPr>
                <w:sz w:val="24"/>
                <w:szCs w:val="24"/>
              </w:rPr>
              <w:t>The Trust has over £440m of critical infrastructure back log maintenance.</w:t>
            </w:r>
          </w:p>
          <w:p w14:paraId="7F925AD9" w14:textId="6686694A" w:rsidR="00EE5CC3" w:rsidRPr="00C44A42" w:rsidRDefault="00EE5CC3" w:rsidP="00C44A42">
            <w:pPr>
              <w:pStyle w:val="ListParagraph"/>
              <w:numPr>
                <w:ilvl w:val="0"/>
                <w:numId w:val="19"/>
              </w:numPr>
              <w:rPr>
                <w:sz w:val="24"/>
                <w:szCs w:val="24"/>
              </w:rPr>
            </w:pPr>
            <w:r w:rsidRPr="00EE5CC3">
              <w:rPr>
                <w:sz w:val="24"/>
                <w:szCs w:val="24"/>
              </w:rPr>
              <w:t xml:space="preserve">NUH has </w:t>
            </w:r>
            <w:proofErr w:type="gramStart"/>
            <w:r w:rsidRPr="00EE5CC3">
              <w:rPr>
                <w:sz w:val="24"/>
                <w:szCs w:val="24"/>
              </w:rPr>
              <w:t>a number of</w:t>
            </w:r>
            <w:proofErr w:type="gramEnd"/>
            <w:r w:rsidRPr="00EE5CC3">
              <w:rPr>
                <w:sz w:val="24"/>
                <w:szCs w:val="24"/>
              </w:rPr>
              <w:t xml:space="preserve"> pre-commitments on several major projects going into 2025/26, these will need to be delivered alongside a range of BAU capital items against a reduced envelope of capital resources available.</w:t>
            </w:r>
          </w:p>
          <w:p w14:paraId="68A5C936" w14:textId="77777777" w:rsidR="00975F7E" w:rsidRPr="00C44A42" w:rsidRDefault="00975F7E" w:rsidP="00C44A42">
            <w:pPr>
              <w:pStyle w:val="ListParagraph"/>
              <w:numPr>
                <w:ilvl w:val="1"/>
                <w:numId w:val="19"/>
              </w:numPr>
              <w:ind w:left="720"/>
              <w:rPr>
                <w:sz w:val="24"/>
                <w:szCs w:val="24"/>
              </w:rPr>
            </w:pPr>
            <w:r w:rsidRPr="00C44A42">
              <w:rPr>
                <w:sz w:val="24"/>
                <w:szCs w:val="24"/>
              </w:rPr>
              <w:t>The Board has committed to spending up to £10m over a 3-year period to address fire related risks. 2025/26 will be year 3 of 3.</w:t>
            </w:r>
          </w:p>
          <w:p w14:paraId="3B250033" w14:textId="77777777" w:rsidR="00975F7E" w:rsidRPr="00C44A42" w:rsidRDefault="00975F7E" w:rsidP="00C44A42">
            <w:pPr>
              <w:pStyle w:val="ListParagraph"/>
              <w:numPr>
                <w:ilvl w:val="1"/>
                <w:numId w:val="19"/>
              </w:numPr>
              <w:ind w:left="720"/>
              <w:rPr>
                <w:sz w:val="24"/>
                <w:szCs w:val="24"/>
              </w:rPr>
            </w:pPr>
            <w:r w:rsidRPr="00C44A42">
              <w:rPr>
                <w:sz w:val="24"/>
                <w:szCs w:val="24"/>
              </w:rPr>
              <w:t>The Trust still has a significant level of red rated medical equipment replacement requirements.</w:t>
            </w:r>
          </w:p>
          <w:p w14:paraId="1585675E" w14:textId="77777777" w:rsidR="00975F7E" w:rsidRPr="00C44A42" w:rsidRDefault="00975F7E" w:rsidP="00C44A42">
            <w:pPr>
              <w:pStyle w:val="ListParagraph"/>
              <w:numPr>
                <w:ilvl w:val="1"/>
                <w:numId w:val="19"/>
              </w:numPr>
              <w:ind w:left="720"/>
              <w:rPr>
                <w:sz w:val="24"/>
                <w:szCs w:val="24"/>
              </w:rPr>
            </w:pPr>
            <w:r w:rsidRPr="00C44A42">
              <w:rPr>
                <w:sz w:val="24"/>
                <w:szCs w:val="24"/>
              </w:rPr>
              <w:t>The two main campuses, QMC and City, are capacity constrained from an electricity perspective which may lead to a critical infrastructure failure.</w:t>
            </w:r>
          </w:p>
          <w:p w14:paraId="39DB3586" w14:textId="77777777" w:rsidR="00975F7E" w:rsidRPr="00C44A42" w:rsidRDefault="00975F7E" w:rsidP="00C44A42">
            <w:pPr>
              <w:pStyle w:val="ListParagraph"/>
              <w:numPr>
                <w:ilvl w:val="1"/>
                <w:numId w:val="19"/>
              </w:numPr>
              <w:ind w:left="720"/>
              <w:rPr>
                <w:sz w:val="24"/>
                <w:szCs w:val="24"/>
              </w:rPr>
            </w:pPr>
            <w:r w:rsidRPr="00C44A42">
              <w:rPr>
                <w:sz w:val="24"/>
                <w:szCs w:val="24"/>
              </w:rPr>
              <w:t>The Trust has two Cath Labs which are past end of life and, if unaddressed, would prevent the Trust from being able to deliver electro physiology.</w:t>
            </w:r>
          </w:p>
          <w:p w14:paraId="29A12E3F" w14:textId="77777777" w:rsidR="00975F7E" w:rsidRDefault="00975F7E" w:rsidP="00C44A42">
            <w:pPr>
              <w:pStyle w:val="ListParagraph"/>
              <w:numPr>
                <w:ilvl w:val="1"/>
                <w:numId w:val="19"/>
              </w:numPr>
              <w:ind w:left="720"/>
              <w:rPr>
                <w:sz w:val="24"/>
                <w:szCs w:val="24"/>
              </w:rPr>
            </w:pPr>
            <w:r w:rsidRPr="00C44A42">
              <w:rPr>
                <w:sz w:val="24"/>
                <w:szCs w:val="24"/>
              </w:rPr>
              <w:t>The Trust is having to review its commitment to previously approved multi-year schemes that support rolling replacement of clinical need due to insufficient funding availability.</w:t>
            </w:r>
          </w:p>
          <w:p w14:paraId="5C796209" w14:textId="77777777" w:rsidR="00C95D21" w:rsidRDefault="00C95D21" w:rsidP="00C95D21">
            <w:pPr>
              <w:rPr>
                <w:sz w:val="24"/>
                <w:szCs w:val="24"/>
              </w:rPr>
            </w:pPr>
          </w:p>
          <w:p w14:paraId="6A26875C" w14:textId="77777777" w:rsidR="00C95D21" w:rsidRPr="00C95D21" w:rsidRDefault="00C95D21" w:rsidP="00C95D21">
            <w:pPr>
              <w:rPr>
                <w:b/>
                <w:bCs/>
                <w:sz w:val="24"/>
                <w:szCs w:val="24"/>
                <w:u w:val="single"/>
              </w:rPr>
            </w:pPr>
            <w:r w:rsidRPr="00C95D21">
              <w:rPr>
                <w:b/>
                <w:bCs/>
                <w:sz w:val="24"/>
                <w:szCs w:val="24"/>
                <w:u w:val="single"/>
              </w:rPr>
              <w:t>Sherwood Forest Hospitals</w:t>
            </w:r>
          </w:p>
          <w:p w14:paraId="45988FC9" w14:textId="658089C1" w:rsidR="00C95D21" w:rsidRPr="00C95D21" w:rsidRDefault="00C95D21" w:rsidP="00C95D21">
            <w:pPr>
              <w:pStyle w:val="ListParagraph"/>
              <w:numPr>
                <w:ilvl w:val="1"/>
                <w:numId w:val="19"/>
              </w:numPr>
              <w:ind w:left="731" w:hanging="284"/>
              <w:rPr>
                <w:sz w:val="24"/>
                <w:szCs w:val="24"/>
              </w:rPr>
            </w:pPr>
            <w:r w:rsidRPr="00C95D21">
              <w:rPr>
                <w:sz w:val="24"/>
                <w:szCs w:val="24"/>
              </w:rPr>
              <w:t>Specific risks exist in relation to Community Diagnostic Centre, in relation to recruitment of staff to ensure operational deliverability on completion in 25/26, and in relation to national building and engineering price inflation, which needs to be managed within the overall quantum of capital costs as the build progresses.</w:t>
            </w:r>
          </w:p>
          <w:p w14:paraId="4F11CBA7" w14:textId="242FDB38" w:rsidR="00C95D21" w:rsidRDefault="00C95D21" w:rsidP="00C95D21">
            <w:pPr>
              <w:pStyle w:val="ListParagraph"/>
              <w:numPr>
                <w:ilvl w:val="1"/>
                <w:numId w:val="19"/>
              </w:numPr>
              <w:ind w:left="731" w:hanging="284"/>
              <w:rPr>
                <w:sz w:val="24"/>
                <w:szCs w:val="24"/>
              </w:rPr>
            </w:pPr>
            <w:r w:rsidRPr="00C95D21">
              <w:rPr>
                <w:sz w:val="24"/>
                <w:szCs w:val="24"/>
              </w:rPr>
              <w:t>The SFH EPR case is subject to formal approval of the 25/26 capital, following a formal tender exercise for the preferred supplier. Full business case currently being prepared following approval by the Department of Health of the outline business case in 2023/24.</w:t>
            </w:r>
          </w:p>
          <w:bookmarkEnd w:id="0"/>
          <w:p w14:paraId="2739E83E" w14:textId="77777777" w:rsidR="00C44A42" w:rsidRPr="00C44A42" w:rsidRDefault="00C44A42" w:rsidP="00C44A42">
            <w:pPr>
              <w:rPr>
                <w:b/>
                <w:bCs/>
                <w:sz w:val="24"/>
                <w:szCs w:val="24"/>
                <w:u w:val="single"/>
              </w:rPr>
            </w:pPr>
            <w:r w:rsidRPr="00C44A42">
              <w:rPr>
                <w:b/>
                <w:bCs/>
                <w:sz w:val="24"/>
                <w:szCs w:val="24"/>
                <w:u w:val="single"/>
              </w:rPr>
              <w:t xml:space="preserve">Nottinghamshire Healthcare </w:t>
            </w:r>
          </w:p>
          <w:p w14:paraId="2F4A44D5" w14:textId="77777777" w:rsidR="004205E1" w:rsidRPr="004205E1" w:rsidRDefault="004205E1" w:rsidP="004205E1">
            <w:pPr>
              <w:pStyle w:val="ListParagraph"/>
              <w:numPr>
                <w:ilvl w:val="0"/>
                <w:numId w:val="19"/>
              </w:numPr>
              <w:rPr>
                <w:sz w:val="24"/>
                <w:szCs w:val="24"/>
              </w:rPr>
            </w:pPr>
            <w:r w:rsidRPr="004205E1">
              <w:rPr>
                <w:sz w:val="24"/>
                <w:szCs w:val="24"/>
              </w:rPr>
              <w:t>Nottinghamshire Health has £24.5m of critical infrastructure backlog maintenance.</w:t>
            </w:r>
          </w:p>
          <w:p w14:paraId="4F3F72D9" w14:textId="620917C7" w:rsidR="004205E1" w:rsidRPr="004205E1" w:rsidRDefault="004205E1" w:rsidP="004205E1">
            <w:pPr>
              <w:pStyle w:val="ListParagraph"/>
              <w:numPr>
                <w:ilvl w:val="0"/>
                <w:numId w:val="19"/>
              </w:numPr>
              <w:rPr>
                <w:sz w:val="24"/>
                <w:szCs w:val="24"/>
              </w:rPr>
            </w:pPr>
            <w:r w:rsidRPr="004205E1">
              <w:rPr>
                <w:sz w:val="24"/>
                <w:szCs w:val="24"/>
              </w:rPr>
              <w:t>The Trust has developed a 3-year capital programme to address a proportion of the specific risks.</w:t>
            </w:r>
          </w:p>
          <w:p w14:paraId="568FE923" w14:textId="3E953AE0" w:rsidR="004205E1" w:rsidRPr="004205E1" w:rsidRDefault="004205E1" w:rsidP="004205E1">
            <w:pPr>
              <w:pStyle w:val="ListParagraph"/>
              <w:numPr>
                <w:ilvl w:val="0"/>
                <w:numId w:val="19"/>
              </w:numPr>
              <w:rPr>
                <w:sz w:val="24"/>
                <w:szCs w:val="24"/>
              </w:rPr>
            </w:pPr>
            <w:r w:rsidRPr="004205E1">
              <w:rPr>
                <w:sz w:val="24"/>
                <w:szCs w:val="24"/>
              </w:rPr>
              <w:t xml:space="preserve">All of Health and Safety risks of the schemes are being controlled and managed by Digital, Estates and operational teams. </w:t>
            </w:r>
          </w:p>
          <w:p w14:paraId="69EFB875" w14:textId="121CDF48" w:rsidR="004205E1" w:rsidRPr="004205E1" w:rsidRDefault="004205E1" w:rsidP="004205E1">
            <w:pPr>
              <w:pStyle w:val="ListParagraph"/>
              <w:numPr>
                <w:ilvl w:val="0"/>
                <w:numId w:val="19"/>
              </w:numPr>
              <w:rPr>
                <w:sz w:val="24"/>
                <w:szCs w:val="24"/>
              </w:rPr>
            </w:pPr>
            <w:r w:rsidRPr="004205E1">
              <w:rPr>
                <w:sz w:val="24"/>
                <w:szCs w:val="24"/>
              </w:rPr>
              <w:t>Further risks exist in relation to Block A and B at Rampton Hospital which were not possible to address within the capital resources available given the significant investment required.</w:t>
            </w:r>
          </w:p>
          <w:p w14:paraId="1F6A1E49" w14:textId="64528287" w:rsidR="009B4149" w:rsidRPr="00960987" w:rsidRDefault="009B4149" w:rsidP="00960987">
            <w:pPr>
              <w:rPr>
                <w:color w:val="FF0000"/>
                <w:sz w:val="24"/>
                <w:szCs w:val="24"/>
              </w:rPr>
            </w:pPr>
          </w:p>
        </w:tc>
      </w:tr>
    </w:tbl>
    <w:p w14:paraId="156FBAE5" w14:textId="77777777" w:rsidR="00E80F82" w:rsidRDefault="00E80F82">
      <w:pPr>
        <w:rPr>
          <w:b/>
          <w:bCs/>
          <w:color w:val="FF0000"/>
          <w:sz w:val="24"/>
          <w:szCs w:val="24"/>
        </w:rPr>
      </w:pPr>
    </w:p>
    <w:p w14:paraId="7597CD27" w14:textId="77777777" w:rsidR="0061200D" w:rsidRDefault="0061200D">
      <w:pPr>
        <w:rPr>
          <w:b/>
          <w:bCs/>
          <w:color w:val="FF0000"/>
          <w:sz w:val="24"/>
          <w:szCs w:val="24"/>
        </w:rPr>
      </w:pPr>
    </w:p>
    <w:p w14:paraId="1769B668" w14:textId="77777777" w:rsidR="0061200D" w:rsidRDefault="0061200D">
      <w:pPr>
        <w:rPr>
          <w:b/>
          <w:bCs/>
          <w:color w:val="FF0000"/>
          <w:sz w:val="24"/>
          <w:szCs w:val="24"/>
        </w:rPr>
      </w:pPr>
    </w:p>
    <w:p w14:paraId="03E248E3" w14:textId="77777777" w:rsidR="0061200D" w:rsidRDefault="0061200D">
      <w:pPr>
        <w:rPr>
          <w:b/>
          <w:bCs/>
          <w:color w:val="FF0000"/>
          <w:sz w:val="24"/>
          <w:szCs w:val="24"/>
        </w:rPr>
      </w:pPr>
    </w:p>
    <w:p w14:paraId="3A34115C" w14:textId="77777777" w:rsidR="0061200D" w:rsidRDefault="0061200D">
      <w:pPr>
        <w:rPr>
          <w:b/>
          <w:bCs/>
          <w:color w:val="FF0000"/>
          <w:sz w:val="24"/>
          <w:szCs w:val="24"/>
        </w:rPr>
      </w:pP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016"/>
      </w:tblGrid>
      <w:tr w:rsidR="002C3F9D" w:rsidRPr="007A2C46" w14:paraId="629BB57B" w14:textId="77777777" w:rsidTr="00975F7E">
        <w:trPr>
          <w:trHeight w:val="605"/>
        </w:trPr>
        <w:tc>
          <w:tcPr>
            <w:tcW w:w="9016" w:type="dxa"/>
            <w:shd w:val="clear" w:color="auto" w:fill="0070C0"/>
            <w:vAlign w:val="center"/>
          </w:tcPr>
          <w:p w14:paraId="1F3C2D1F" w14:textId="77777777" w:rsidR="002C3F9D" w:rsidRPr="002C3F9D" w:rsidRDefault="002C3F9D" w:rsidP="007C1067">
            <w:pPr>
              <w:rPr>
                <w:rFonts w:cs="Arial"/>
                <w:b/>
                <w:bCs/>
                <w:color w:val="FFFFFF" w:themeColor="background1"/>
              </w:rPr>
            </w:pPr>
            <w:r w:rsidRPr="002C3F9D">
              <w:rPr>
                <w:rFonts w:cs="Arial"/>
                <w:b/>
                <w:bCs/>
                <w:color w:val="FFFFFF" w:themeColor="background1"/>
              </w:rPr>
              <w:t>Capital planning</w:t>
            </w:r>
          </w:p>
        </w:tc>
      </w:tr>
      <w:tr w:rsidR="002C3F9D" w:rsidRPr="007A2C46" w14:paraId="6D755E4C" w14:textId="77777777" w:rsidTr="00975F7E">
        <w:trPr>
          <w:trHeight w:val="1654"/>
        </w:trPr>
        <w:tc>
          <w:tcPr>
            <w:tcW w:w="9016" w:type="dxa"/>
            <w:shd w:val="clear" w:color="auto" w:fill="auto"/>
          </w:tcPr>
          <w:p w14:paraId="677F2613" w14:textId="271E2F22" w:rsidR="002C3F9D" w:rsidRPr="00C44A42" w:rsidRDefault="002C3F9D" w:rsidP="00C95D21">
            <w:pPr>
              <w:pStyle w:val="Bulletlist"/>
              <w:rPr>
                <w:b/>
                <w:bCs/>
              </w:rPr>
            </w:pPr>
            <w:r w:rsidRPr="00C44A42">
              <w:t>In prioritising operational capital</w:t>
            </w:r>
            <w:r w:rsidR="00C95D21">
              <w:t>,</w:t>
            </w:r>
            <w:r w:rsidRPr="00C44A42">
              <w:t xml:space="preserve"> the system considers the following factors:</w:t>
            </w:r>
          </w:p>
          <w:p w14:paraId="41793BB2" w14:textId="77777777" w:rsidR="002C3F9D" w:rsidRPr="00C44A42" w:rsidRDefault="002C3F9D" w:rsidP="00C95D21">
            <w:pPr>
              <w:pStyle w:val="Bulletlist"/>
              <w:numPr>
                <w:ilvl w:val="0"/>
                <w:numId w:val="25"/>
              </w:numPr>
              <w:rPr>
                <w:b/>
                <w:bCs/>
              </w:rPr>
            </w:pPr>
            <w:r w:rsidRPr="00C44A42">
              <w:t>Addressing operational risk such as estates infrastructure risk, equipment replacement requirements and IT upgrades/replacement.</w:t>
            </w:r>
          </w:p>
          <w:p w14:paraId="62F3E35E" w14:textId="77777777" w:rsidR="002C3F9D" w:rsidRPr="00C44A42" w:rsidRDefault="002C3F9D" w:rsidP="00C95D21">
            <w:pPr>
              <w:pStyle w:val="Bulletlist"/>
              <w:numPr>
                <w:ilvl w:val="0"/>
                <w:numId w:val="25"/>
              </w:numPr>
              <w:rPr>
                <w:b/>
                <w:bCs/>
              </w:rPr>
            </w:pPr>
            <w:r w:rsidRPr="00C44A42">
              <w:t>Supporting national programme capital using local funds.</w:t>
            </w:r>
          </w:p>
          <w:p w14:paraId="416686D5" w14:textId="77777777" w:rsidR="002C3F9D" w:rsidRPr="00C95D21" w:rsidRDefault="002C3F9D" w:rsidP="00C95D21">
            <w:pPr>
              <w:pStyle w:val="Bulletlist"/>
              <w:numPr>
                <w:ilvl w:val="0"/>
                <w:numId w:val="25"/>
              </w:numPr>
              <w:rPr>
                <w:b/>
                <w:bCs/>
              </w:rPr>
            </w:pPr>
            <w:r w:rsidRPr="00C44A42">
              <w:t>Capital requirements to support larger strategic priorities.</w:t>
            </w:r>
          </w:p>
          <w:p w14:paraId="280DFB74" w14:textId="77777777" w:rsidR="00C95D21" w:rsidRDefault="00C95D21" w:rsidP="00C95D21">
            <w:pPr>
              <w:pStyle w:val="Bulletlist"/>
              <w:rPr>
                <w:b/>
                <w:bCs/>
              </w:rPr>
            </w:pPr>
          </w:p>
          <w:p w14:paraId="50193CB4" w14:textId="77777777" w:rsidR="00C95D21" w:rsidRPr="00C95D21" w:rsidRDefault="00C95D21" w:rsidP="00C95D21">
            <w:pPr>
              <w:pStyle w:val="Bulletlist"/>
            </w:pPr>
            <w:r w:rsidRPr="00C95D21">
              <w:t>The following broad approach to the allocation and prioritisation of funds has been agreed within the system for planning: -</w:t>
            </w:r>
          </w:p>
          <w:p w14:paraId="733AB2A2" w14:textId="7E6463A7" w:rsidR="00C95D21" w:rsidRPr="00C95D21" w:rsidRDefault="00C95D21" w:rsidP="00C95D21">
            <w:pPr>
              <w:pStyle w:val="Bulletlist"/>
              <w:numPr>
                <w:ilvl w:val="0"/>
                <w:numId w:val="40"/>
              </w:numPr>
            </w:pPr>
            <w:r w:rsidRPr="00C95D21">
              <w:t>Agree prior year precommitments are the first call on the capital envelope. This includes any slippage or unexpected cost increases.</w:t>
            </w:r>
          </w:p>
          <w:p w14:paraId="2DE3EA9D" w14:textId="42BD8EF9" w:rsidR="00C95D21" w:rsidRPr="00C95D21" w:rsidRDefault="00C95D21" w:rsidP="00C95D21">
            <w:pPr>
              <w:pStyle w:val="Bulletlist"/>
              <w:numPr>
                <w:ilvl w:val="0"/>
                <w:numId w:val="40"/>
              </w:numPr>
            </w:pPr>
            <w:r w:rsidRPr="00C95D21">
              <w:t>Approximately 50% of capital envelope to be used to address operational priorities using an agreed assessment of need across the provider organisations.</w:t>
            </w:r>
          </w:p>
          <w:p w14:paraId="1BAC42F5" w14:textId="7D22B8E0" w:rsidR="00C95D21" w:rsidRPr="00C95D21" w:rsidRDefault="00C95D21" w:rsidP="00C95D21">
            <w:pPr>
              <w:pStyle w:val="Bulletlist"/>
              <w:numPr>
                <w:ilvl w:val="0"/>
                <w:numId w:val="40"/>
              </w:numPr>
            </w:pPr>
            <w:r w:rsidRPr="00C95D21">
              <w:t xml:space="preserve">National funding to be used to support strategic priorities where possible. </w:t>
            </w:r>
          </w:p>
          <w:p w14:paraId="78A9B9D9" w14:textId="381B6216" w:rsidR="00C95D21" w:rsidRPr="00C95D21" w:rsidRDefault="00C95D21" w:rsidP="00C95D21">
            <w:pPr>
              <w:pStyle w:val="Bulletlist"/>
              <w:numPr>
                <w:ilvl w:val="0"/>
                <w:numId w:val="40"/>
              </w:numPr>
            </w:pPr>
            <w:r w:rsidRPr="00C95D21">
              <w:t>Remaining funding to be used to addressed larger strategic schemes – prioritised at a system level.</w:t>
            </w:r>
          </w:p>
          <w:p w14:paraId="4E691A3A" w14:textId="77777777" w:rsidR="00C95D21" w:rsidRDefault="00C95D21" w:rsidP="00C95D21">
            <w:pPr>
              <w:pStyle w:val="Bulletlist"/>
              <w:rPr>
                <w:b/>
                <w:bCs/>
              </w:rPr>
            </w:pPr>
          </w:p>
          <w:p w14:paraId="23ECFE0D" w14:textId="77777777" w:rsidR="002C3F9D" w:rsidRDefault="002C3F9D" w:rsidP="00C95D21">
            <w:pPr>
              <w:pStyle w:val="Bulletlist"/>
            </w:pPr>
            <w:r w:rsidRPr="00C44A42">
              <w:t>In 2025/26, system partners have several pre-commitments that require funding from the operational capital envelope.  Much of these pre-commitments arise from nationally funded schemes. Due to timing of available funds, inflation or changes in scope, local capital funding has been required to supplement the capital funds provided.</w:t>
            </w:r>
          </w:p>
          <w:p w14:paraId="30344488" w14:textId="77777777" w:rsidR="00C95D21" w:rsidRDefault="00C95D21" w:rsidP="00C95D21">
            <w:pPr>
              <w:pStyle w:val="Bulletlist"/>
            </w:pPr>
          </w:p>
          <w:p w14:paraId="100E36BA" w14:textId="367ABA8A" w:rsidR="00C95D21" w:rsidRPr="00C95D21" w:rsidRDefault="00C95D21" w:rsidP="00C95D21">
            <w:pPr>
              <w:pStyle w:val="Bulletlist"/>
            </w:pPr>
            <w:r w:rsidRPr="00C95D21">
              <w:t>In addition, the system envelope will be used to invest £9.9m to complete a new build MRI scanner at King’s Mill Hospital. This has left a smaller share of funding to support operational risk areas in 2025/26.</w:t>
            </w:r>
          </w:p>
          <w:p w14:paraId="402AAD26" w14:textId="77777777" w:rsidR="00C44A42" w:rsidRPr="00C44A42" w:rsidRDefault="00C44A42" w:rsidP="00C95D21">
            <w:pPr>
              <w:pStyle w:val="Bulletlist"/>
            </w:pPr>
          </w:p>
          <w:p w14:paraId="5F7D8572" w14:textId="086F692C" w:rsidR="00C44A42" w:rsidRPr="002C3F9D" w:rsidRDefault="002C3F9D" w:rsidP="00D70CE9">
            <w:pPr>
              <w:pStyle w:val="Bulletlist"/>
              <w:rPr>
                <w:highlight w:val="yellow"/>
              </w:rPr>
            </w:pPr>
            <w:r w:rsidRPr="00C44A42">
              <w:t>To support longer-term capital planning, the system has developed a long list of strategic priorities that it is looking to drive forward as part of its wider strategy.  The Strategic Estates Group have agreed prioritisation criteria alongside the development of our ICS Infrastructure Strategy</w:t>
            </w:r>
            <w:r w:rsidR="004040CF">
              <w:t>.</w:t>
            </w:r>
            <w:r w:rsidRPr="00C44A42">
              <w:t xml:space="preserve">  This strategy will look to ensure best value from existing assets, which may lead to disposals in some areas (notably corporate estate).</w:t>
            </w:r>
          </w:p>
        </w:tc>
      </w:tr>
    </w:tbl>
    <w:p w14:paraId="42D7C086" w14:textId="77777777" w:rsidR="00E80F82" w:rsidRDefault="00E80F82">
      <w:pPr>
        <w:rPr>
          <w:b/>
          <w:bCs/>
          <w:color w:val="FF0000"/>
          <w:sz w:val="24"/>
          <w:szCs w:val="24"/>
        </w:rPr>
      </w:pP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016"/>
      </w:tblGrid>
      <w:tr w:rsidR="000458A0" w:rsidRPr="000458A0" w14:paraId="5396BAA3" w14:textId="77777777" w:rsidTr="003708C8">
        <w:trPr>
          <w:trHeight w:val="605"/>
        </w:trPr>
        <w:tc>
          <w:tcPr>
            <w:tcW w:w="9016" w:type="dxa"/>
            <w:shd w:val="clear" w:color="auto" w:fill="2F5496" w:themeFill="accent1" w:themeFillShade="BF"/>
            <w:vAlign w:val="center"/>
          </w:tcPr>
          <w:p w14:paraId="2A38796B" w14:textId="5242A0F3" w:rsidR="00BC6A79" w:rsidRPr="000458A0" w:rsidRDefault="00C07FA9" w:rsidP="003708C8">
            <w:pPr>
              <w:rPr>
                <w:b/>
                <w:bCs/>
                <w:color w:val="FF0000"/>
                <w:sz w:val="24"/>
                <w:szCs w:val="24"/>
              </w:rPr>
            </w:pPr>
            <w:r w:rsidRPr="000458A0">
              <w:rPr>
                <w:b/>
                <w:bCs/>
                <w:color w:val="FF0000"/>
                <w:sz w:val="24"/>
                <w:szCs w:val="24"/>
              </w:rPr>
              <w:br w:type="page"/>
            </w:r>
            <w:r w:rsidR="00BC6A79" w:rsidRPr="000458A0">
              <w:rPr>
                <w:b/>
                <w:bCs/>
                <w:color w:val="FFFFFF" w:themeColor="background1"/>
                <w:sz w:val="24"/>
                <w:szCs w:val="24"/>
              </w:rPr>
              <w:t xml:space="preserve">Overview of </w:t>
            </w:r>
            <w:r w:rsidR="002C3F9D">
              <w:rPr>
                <w:b/>
                <w:bCs/>
                <w:color w:val="FFFFFF" w:themeColor="background1"/>
                <w:sz w:val="24"/>
                <w:szCs w:val="24"/>
              </w:rPr>
              <w:t>o</w:t>
            </w:r>
            <w:r w:rsidR="00BC6A79" w:rsidRPr="000458A0">
              <w:rPr>
                <w:b/>
                <w:bCs/>
                <w:color w:val="FFFFFF" w:themeColor="background1"/>
                <w:sz w:val="24"/>
                <w:szCs w:val="24"/>
              </w:rPr>
              <w:t xml:space="preserve">ngoing </w:t>
            </w:r>
            <w:r w:rsidR="002C3F9D">
              <w:rPr>
                <w:b/>
                <w:bCs/>
                <w:color w:val="FFFFFF" w:themeColor="background1"/>
                <w:sz w:val="24"/>
                <w:szCs w:val="24"/>
              </w:rPr>
              <w:t>s</w:t>
            </w:r>
            <w:r w:rsidR="00BC6A79" w:rsidRPr="000458A0">
              <w:rPr>
                <w:b/>
                <w:bCs/>
                <w:color w:val="FFFFFF" w:themeColor="background1"/>
                <w:sz w:val="24"/>
                <w:szCs w:val="24"/>
              </w:rPr>
              <w:t xml:space="preserve">cheme </w:t>
            </w:r>
            <w:r w:rsidR="002C3F9D">
              <w:rPr>
                <w:b/>
                <w:bCs/>
                <w:color w:val="FFFFFF" w:themeColor="background1"/>
                <w:sz w:val="24"/>
                <w:szCs w:val="24"/>
              </w:rPr>
              <w:t>p</w:t>
            </w:r>
            <w:r w:rsidR="00BC6A79" w:rsidRPr="000458A0">
              <w:rPr>
                <w:b/>
                <w:bCs/>
                <w:color w:val="FFFFFF" w:themeColor="background1"/>
                <w:sz w:val="24"/>
                <w:szCs w:val="24"/>
              </w:rPr>
              <w:t>rogression</w:t>
            </w:r>
          </w:p>
        </w:tc>
      </w:tr>
      <w:tr w:rsidR="000458A0" w:rsidRPr="000458A0" w14:paraId="23FE137C" w14:textId="77777777" w:rsidTr="003B57DF">
        <w:trPr>
          <w:trHeight w:val="1691"/>
        </w:trPr>
        <w:tc>
          <w:tcPr>
            <w:tcW w:w="9016" w:type="dxa"/>
            <w:shd w:val="clear" w:color="auto" w:fill="FFFFFF" w:themeFill="background1"/>
          </w:tcPr>
          <w:p w14:paraId="3620CDD7" w14:textId="1B6C11DF" w:rsidR="00BC6A79" w:rsidRPr="00C44A42" w:rsidRDefault="003B301D" w:rsidP="00C44A42">
            <w:pPr>
              <w:rPr>
                <w:b/>
                <w:bCs/>
                <w:sz w:val="24"/>
                <w:szCs w:val="24"/>
                <w:u w:val="single"/>
              </w:rPr>
            </w:pPr>
            <w:r w:rsidRPr="00C44A42">
              <w:rPr>
                <w:b/>
                <w:bCs/>
                <w:sz w:val="24"/>
                <w:szCs w:val="24"/>
                <w:u w:val="single"/>
              </w:rPr>
              <w:t>Nottingham University Hospitals</w:t>
            </w:r>
          </w:p>
          <w:p w14:paraId="42E09F8E" w14:textId="3FF6DA60" w:rsidR="00C1578A" w:rsidRDefault="00ED45B1" w:rsidP="00C44A42">
            <w:pPr>
              <w:rPr>
                <w:sz w:val="24"/>
                <w:szCs w:val="24"/>
              </w:rPr>
            </w:pPr>
            <w:r w:rsidRPr="00C44A42">
              <w:rPr>
                <w:sz w:val="24"/>
                <w:szCs w:val="24"/>
              </w:rPr>
              <w:t xml:space="preserve">NUH </w:t>
            </w:r>
            <w:r w:rsidR="009B4149">
              <w:rPr>
                <w:sz w:val="24"/>
                <w:szCs w:val="24"/>
              </w:rPr>
              <w:t>have planned for</w:t>
            </w:r>
            <w:r w:rsidR="00C1578A" w:rsidRPr="00C44A42">
              <w:rPr>
                <w:sz w:val="24"/>
                <w:szCs w:val="24"/>
              </w:rPr>
              <w:t xml:space="preserve"> </w:t>
            </w:r>
            <w:r w:rsidR="009E7E77" w:rsidRPr="00C44A42">
              <w:rPr>
                <w:sz w:val="24"/>
                <w:szCs w:val="24"/>
              </w:rPr>
              <w:t xml:space="preserve">a total </w:t>
            </w:r>
            <w:r w:rsidR="00C1578A" w:rsidRPr="00C44A42">
              <w:rPr>
                <w:sz w:val="24"/>
                <w:szCs w:val="24"/>
              </w:rPr>
              <w:t>£1</w:t>
            </w:r>
            <w:r w:rsidR="009E7E77" w:rsidRPr="00C44A42">
              <w:rPr>
                <w:sz w:val="24"/>
                <w:szCs w:val="24"/>
              </w:rPr>
              <w:t>0</w:t>
            </w:r>
            <w:r w:rsidR="0061200D">
              <w:rPr>
                <w:sz w:val="24"/>
                <w:szCs w:val="24"/>
              </w:rPr>
              <w:t>7.6</w:t>
            </w:r>
            <w:r w:rsidR="00C1578A" w:rsidRPr="00C44A42">
              <w:rPr>
                <w:sz w:val="24"/>
                <w:szCs w:val="24"/>
              </w:rPr>
              <w:t>m capital resource for 202</w:t>
            </w:r>
            <w:r w:rsidR="00324A80" w:rsidRPr="00C44A42">
              <w:rPr>
                <w:sz w:val="24"/>
                <w:szCs w:val="24"/>
              </w:rPr>
              <w:t>5</w:t>
            </w:r>
            <w:r w:rsidR="00C1578A" w:rsidRPr="00C44A42">
              <w:rPr>
                <w:sz w:val="24"/>
                <w:szCs w:val="24"/>
              </w:rPr>
              <w:t>/2</w:t>
            </w:r>
            <w:r w:rsidR="00324A80" w:rsidRPr="00C44A42">
              <w:rPr>
                <w:sz w:val="24"/>
                <w:szCs w:val="24"/>
              </w:rPr>
              <w:t>6</w:t>
            </w:r>
            <w:r w:rsidR="009E7E77" w:rsidRPr="00C44A42">
              <w:rPr>
                <w:sz w:val="24"/>
                <w:szCs w:val="24"/>
              </w:rPr>
              <w:t>. This</w:t>
            </w:r>
            <w:r w:rsidR="00324A80" w:rsidRPr="00C44A42">
              <w:rPr>
                <w:sz w:val="24"/>
                <w:szCs w:val="24"/>
              </w:rPr>
              <w:t xml:space="preserve"> includes the </w:t>
            </w:r>
            <w:r w:rsidR="009E7E77" w:rsidRPr="00C44A42">
              <w:rPr>
                <w:sz w:val="24"/>
                <w:szCs w:val="24"/>
              </w:rPr>
              <w:t>core ICS envelope allocation, along with the specific allocations that cover Estates critical infrastructure and constitutional standards.  In addition</w:t>
            </w:r>
            <w:r w:rsidR="00327C7A">
              <w:rPr>
                <w:sz w:val="24"/>
                <w:szCs w:val="24"/>
              </w:rPr>
              <w:t>,</w:t>
            </w:r>
            <w:r w:rsidR="009E7E77" w:rsidRPr="00C44A42">
              <w:rPr>
                <w:sz w:val="24"/>
                <w:szCs w:val="24"/>
              </w:rPr>
              <w:t xml:space="preserve"> there is specific PDC funding for the </w:t>
            </w:r>
            <w:r w:rsidR="00324A80" w:rsidRPr="00C44A42">
              <w:rPr>
                <w:sz w:val="24"/>
                <w:szCs w:val="24"/>
              </w:rPr>
              <w:t xml:space="preserve">completion of </w:t>
            </w:r>
            <w:r w:rsidR="00C1578A" w:rsidRPr="00C44A42">
              <w:rPr>
                <w:sz w:val="24"/>
                <w:szCs w:val="24"/>
              </w:rPr>
              <w:t>the National Rehabilitation Centre (NRC)</w:t>
            </w:r>
            <w:r w:rsidR="009E7E77" w:rsidRPr="00C44A42">
              <w:rPr>
                <w:sz w:val="24"/>
                <w:szCs w:val="24"/>
              </w:rPr>
              <w:t>, and confirmation of funding towards a replacement LINAC within radiotherapy</w:t>
            </w:r>
            <w:r w:rsidR="00324A80" w:rsidRPr="00C44A42">
              <w:rPr>
                <w:sz w:val="24"/>
                <w:szCs w:val="24"/>
              </w:rPr>
              <w:t>.</w:t>
            </w:r>
            <w:r w:rsidR="00C1578A" w:rsidRPr="00C44A42">
              <w:rPr>
                <w:sz w:val="24"/>
                <w:szCs w:val="24"/>
              </w:rPr>
              <w:t xml:space="preserve">  The</w:t>
            </w:r>
            <w:r w:rsidR="009E7E77" w:rsidRPr="00C44A42">
              <w:rPr>
                <w:sz w:val="24"/>
                <w:szCs w:val="24"/>
              </w:rPr>
              <w:t xml:space="preserve"> non CDEL spend of</w:t>
            </w:r>
            <w:r w:rsidR="00C1578A" w:rsidRPr="00C44A42">
              <w:rPr>
                <w:sz w:val="24"/>
                <w:szCs w:val="24"/>
              </w:rPr>
              <w:t xml:space="preserve"> £</w:t>
            </w:r>
            <w:r w:rsidR="009E7E77" w:rsidRPr="00C44A42">
              <w:rPr>
                <w:sz w:val="24"/>
                <w:szCs w:val="24"/>
              </w:rPr>
              <w:t>25</w:t>
            </w:r>
            <w:r w:rsidR="00C1578A" w:rsidRPr="00C44A42">
              <w:rPr>
                <w:sz w:val="24"/>
                <w:szCs w:val="24"/>
              </w:rPr>
              <w:t>.</w:t>
            </w:r>
            <w:r w:rsidR="009E7E77" w:rsidRPr="00C44A42">
              <w:rPr>
                <w:sz w:val="24"/>
                <w:szCs w:val="24"/>
              </w:rPr>
              <w:t>5</w:t>
            </w:r>
            <w:r w:rsidR="00C1578A" w:rsidRPr="00C44A42">
              <w:rPr>
                <w:sz w:val="24"/>
                <w:szCs w:val="24"/>
              </w:rPr>
              <w:t xml:space="preserve">m </w:t>
            </w:r>
            <w:r w:rsidR="00C1578A" w:rsidRPr="00C44A42">
              <w:rPr>
                <w:sz w:val="24"/>
                <w:szCs w:val="24"/>
              </w:rPr>
              <w:lastRenderedPageBreak/>
              <w:t xml:space="preserve">relating to donations and grant funded spend including </w:t>
            </w:r>
            <w:r w:rsidR="009E7E77" w:rsidRPr="00C44A42">
              <w:rPr>
                <w:sz w:val="24"/>
                <w:szCs w:val="24"/>
              </w:rPr>
              <w:t>completion of</w:t>
            </w:r>
            <w:r w:rsidR="00C1578A" w:rsidRPr="00C44A42">
              <w:rPr>
                <w:sz w:val="24"/>
                <w:szCs w:val="24"/>
              </w:rPr>
              <w:t xml:space="preserve"> the Public Sector Decarbonisation Scheme (PSDS), to give a total capital programme of £1</w:t>
            </w:r>
            <w:r w:rsidR="009E7E77" w:rsidRPr="00C44A42">
              <w:rPr>
                <w:sz w:val="24"/>
                <w:szCs w:val="24"/>
              </w:rPr>
              <w:t>3</w:t>
            </w:r>
            <w:r w:rsidR="0061200D">
              <w:rPr>
                <w:sz w:val="24"/>
                <w:szCs w:val="24"/>
              </w:rPr>
              <w:t>3.1</w:t>
            </w:r>
            <w:r w:rsidR="00C1578A" w:rsidRPr="00C44A42">
              <w:rPr>
                <w:sz w:val="24"/>
                <w:szCs w:val="24"/>
              </w:rPr>
              <w:t>m.</w:t>
            </w:r>
          </w:p>
          <w:p w14:paraId="15B0CD7E" w14:textId="77777777" w:rsidR="00EE5CC3" w:rsidRDefault="00EE5CC3" w:rsidP="00C44A42">
            <w:pPr>
              <w:rPr>
                <w:sz w:val="24"/>
                <w:szCs w:val="24"/>
              </w:rPr>
            </w:pPr>
          </w:p>
          <w:p w14:paraId="026AC147" w14:textId="5AED65F0" w:rsidR="00C1578A" w:rsidRPr="00C44A42" w:rsidRDefault="00C1578A" w:rsidP="00C44A42">
            <w:pPr>
              <w:rPr>
                <w:sz w:val="24"/>
                <w:szCs w:val="24"/>
              </w:rPr>
            </w:pPr>
            <w:r w:rsidRPr="00C44A42">
              <w:rPr>
                <w:sz w:val="24"/>
                <w:szCs w:val="24"/>
              </w:rPr>
              <w:t>Significant schemes in the 202</w:t>
            </w:r>
            <w:r w:rsidR="009E7E77" w:rsidRPr="00C44A42">
              <w:rPr>
                <w:sz w:val="24"/>
                <w:szCs w:val="24"/>
              </w:rPr>
              <w:t>5</w:t>
            </w:r>
            <w:r w:rsidRPr="00C44A42">
              <w:rPr>
                <w:sz w:val="24"/>
                <w:szCs w:val="24"/>
              </w:rPr>
              <w:t>/2</w:t>
            </w:r>
            <w:r w:rsidR="009E7E77" w:rsidRPr="00C44A42">
              <w:rPr>
                <w:sz w:val="24"/>
                <w:szCs w:val="24"/>
              </w:rPr>
              <w:t>6</w:t>
            </w:r>
            <w:r w:rsidRPr="00C44A42">
              <w:rPr>
                <w:sz w:val="24"/>
                <w:szCs w:val="24"/>
              </w:rPr>
              <w:t xml:space="preserve"> plan include:</w:t>
            </w:r>
          </w:p>
          <w:p w14:paraId="5485837A" w14:textId="1231FC16" w:rsidR="00C1578A" w:rsidRPr="00C44A42" w:rsidRDefault="00C1578A" w:rsidP="00C44A42">
            <w:pPr>
              <w:pStyle w:val="ListParagraph"/>
              <w:numPr>
                <w:ilvl w:val="0"/>
                <w:numId w:val="13"/>
              </w:numPr>
              <w:rPr>
                <w:sz w:val="24"/>
                <w:szCs w:val="24"/>
              </w:rPr>
            </w:pPr>
            <w:bookmarkStart w:id="1" w:name="_Hlk164702784"/>
            <w:r w:rsidRPr="00C44A42">
              <w:rPr>
                <w:sz w:val="24"/>
                <w:szCs w:val="24"/>
              </w:rPr>
              <w:t xml:space="preserve">The National Rehabilitation Centre (NRC) at Stanford Hall Rehabilitation Estate, a </w:t>
            </w:r>
            <w:r w:rsidR="00327C7A" w:rsidRPr="00C44A42">
              <w:rPr>
                <w:sz w:val="24"/>
                <w:szCs w:val="24"/>
              </w:rPr>
              <w:t>70-bed</w:t>
            </w:r>
            <w:r w:rsidRPr="00C44A42">
              <w:rPr>
                <w:sz w:val="24"/>
                <w:szCs w:val="24"/>
              </w:rPr>
              <w:t xml:space="preserve"> clinical facility which will be a purpose-built rehabilitation centre anticipated to open</w:t>
            </w:r>
            <w:r w:rsidR="008254D0" w:rsidRPr="00C44A42">
              <w:rPr>
                <w:sz w:val="24"/>
                <w:szCs w:val="24"/>
              </w:rPr>
              <w:t xml:space="preserve"> Spring 2025</w:t>
            </w:r>
          </w:p>
          <w:bookmarkEnd w:id="1"/>
          <w:p w14:paraId="2111D27D" w14:textId="0FE57EE6" w:rsidR="00C1578A" w:rsidRPr="00C44A42" w:rsidRDefault="00C1578A" w:rsidP="00C44A42">
            <w:pPr>
              <w:pStyle w:val="ListParagraph"/>
              <w:numPr>
                <w:ilvl w:val="0"/>
                <w:numId w:val="13"/>
              </w:numPr>
              <w:rPr>
                <w:sz w:val="24"/>
                <w:szCs w:val="24"/>
              </w:rPr>
            </w:pPr>
            <w:r w:rsidRPr="00C44A42">
              <w:rPr>
                <w:sz w:val="24"/>
                <w:szCs w:val="24"/>
              </w:rPr>
              <w:t xml:space="preserve">The </w:t>
            </w:r>
            <w:r w:rsidR="009E7E77" w:rsidRPr="00C44A42">
              <w:rPr>
                <w:sz w:val="24"/>
                <w:szCs w:val="24"/>
              </w:rPr>
              <w:t xml:space="preserve">completion </w:t>
            </w:r>
            <w:r w:rsidRPr="00C44A42">
              <w:rPr>
                <w:sz w:val="24"/>
                <w:szCs w:val="24"/>
              </w:rPr>
              <w:t xml:space="preserve">of a Community Diagnostic </w:t>
            </w:r>
            <w:r w:rsidR="00ED45B1" w:rsidRPr="00C44A42">
              <w:rPr>
                <w:sz w:val="24"/>
                <w:szCs w:val="24"/>
              </w:rPr>
              <w:t>Centre i</w:t>
            </w:r>
            <w:r w:rsidRPr="00C44A42">
              <w:rPr>
                <w:sz w:val="24"/>
                <w:szCs w:val="24"/>
              </w:rPr>
              <w:t>n Nottingham</w:t>
            </w:r>
            <w:r w:rsidR="00ED45B1" w:rsidRPr="00C44A42">
              <w:rPr>
                <w:sz w:val="24"/>
                <w:szCs w:val="24"/>
              </w:rPr>
              <w:t xml:space="preserve"> city centre</w:t>
            </w:r>
            <w:r w:rsidRPr="00C44A42">
              <w:rPr>
                <w:sz w:val="24"/>
                <w:szCs w:val="24"/>
              </w:rPr>
              <w:t xml:space="preserve">. This is a Nationally approved scheme to </w:t>
            </w:r>
            <w:r w:rsidR="009E7E77" w:rsidRPr="00C44A42">
              <w:rPr>
                <w:sz w:val="24"/>
                <w:szCs w:val="24"/>
              </w:rPr>
              <w:t xml:space="preserve">now </w:t>
            </w:r>
            <w:r w:rsidRPr="00C44A42">
              <w:rPr>
                <w:sz w:val="24"/>
                <w:szCs w:val="24"/>
              </w:rPr>
              <w:t xml:space="preserve">be completed </w:t>
            </w:r>
            <w:r w:rsidR="009E7E77" w:rsidRPr="00C44A42">
              <w:rPr>
                <w:sz w:val="24"/>
                <w:szCs w:val="24"/>
              </w:rPr>
              <w:t xml:space="preserve">early </w:t>
            </w:r>
            <w:r w:rsidRPr="00C44A42">
              <w:rPr>
                <w:sz w:val="24"/>
                <w:szCs w:val="24"/>
              </w:rPr>
              <w:t>in 2</w:t>
            </w:r>
            <w:r w:rsidR="009E7E77" w:rsidRPr="00C44A42">
              <w:rPr>
                <w:sz w:val="24"/>
                <w:szCs w:val="24"/>
              </w:rPr>
              <w:t>6</w:t>
            </w:r>
            <w:r w:rsidRPr="00C44A42">
              <w:rPr>
                <w:sz w:val="24"/>
                <w:szCs w:val="24"/>
              </w:rPr>
              <w:t>/2</w:t>
            </w:r>
            <w:r w:rsidR="009E7E77" w:rsidRPr="00C44A42">
              <w:rPr>
                <w:sz w:val="24"/>
                <w:szCs w:val="24"/>
              </w:rPr>
              <w:t>7</w:t>
            </w:r>
            <w:r w:rsidRPr="00C44A42">
              <w:rPr>
                <w:sz w:val="24"/>
                <w:szCs w:val="24"/>
              </w:rPr>
              <w:t xml:space="preserve"> with </w:t>
            </w:r>
            <w:r w:rsidR="009E7E77" w:rsidRPr="00C44A42">
              <w:rPr>
                <w:sz w:val="24"/>
                <w:szCs w:val="24"/>
              </w:rPr>
              <w:t xml:space="preserve">significant </w:t>
            </w:r>
            <w:r w:rsidRPr="00C44A42">
              <w:rPr>
                <w:sz w:val="24"/>
                <w:szCs w:val="24"/>
              </w:rPr>
              <w:t>spend in 2</w:t>
            </w:r>
            <w:r w:rsidR="009E7E77" w:rsidRPr="00C44A42">
              <w:rPr>
                <w:sz w:val="24"/>
                <w:szCs w:val="24"/>
              </w:rPr>
              <w:t>5</w:t>
            </w:r>
            <w:r w:rsidRPr="00C44A42">
              <w:rPr>
                <w:sz w:val="24"/>
                <w:szCs w:val="24"/>
              </w:rPr>
              <w:t>/2</w:t>
            </w:r>
            <w:r w:rsidR="009E7E77" w:rsidRPr="00C44A42">
              <w:rPr>
                <w:sz w:val="24"/>
                <w:szCs w:val="24"/>
              </w:rPr>
              <w:t>6, including an expansion of the original scheme of which is funded by constitutional standards allocations.</w:t>
            </w:r>
          </w:p>
          <w:p w14:paraId="43C4D6DB" w14:textId="330FF6FD" w:rsidR="00C1578A" w:rsidRPr="00C44A42" w:rsidRDefault="00C1578A" w:rsidP="00C44A42">
            <w:pPr>
              <w:pStyle w:val="ListParagraph"/>
              <w:numPr>
                <w:ilvl w:val="0"/>
                <w:numId w:val="13"/>
              </w:numPr>
              <w:rPr>
                <w:sz w:val="24"/>
                <w:szCs w:val="24"/>
              </w:rPr>
            </w:pPr>
            <w:r w:rsidRPr="00C44A42">
              <w:rPr>
                <w:sz w:val="24"/>
                <w:szCs w:val="24"/>
              </w:rPr>
              <w:t>Completion of the second phase of development to create a Ring-fenced Elective Hub on the City Campus</w:t>
            </w:r>
            <w:r w:rsidR="00960D01" w:rsidRPr="00C44A42">
              <w:rPr>
                <w:sz w:val="24"/>
                <w:szCs w:val="24"/>
              </w:rPr>
              <w:t>.</w:t>
            </w:r>
          </w:p>
          <w:p w14:paraId="71737A67" w14:textId="627F0F7A" w:rsidR="00C1578A" w:rsidRPr="00C44A42" w:rsidRDefault="009E7E77" w:rsidP="00C44A42">
            <w:pPr>
              <w:pStyle w:val="ListParagraph"/>
              <w:numPr>
                <w:ilvl w:val="0"/>
                <w:numId w:val="13"/>
              </w:numPr>
              <w:rPr>
                <w:sz w:val="24"/>
                <w:szCs w:val="24"/>
              </w:rPr>
            </w:pPr>
            <w:r w:rsidRPr="00C44A42">
              <w:rPr>
                <w:sz w:val="24"/>
                <w:szCs w:val="24"/>
              </w:rPr>
              <w:t>Completion of the</w:t>
            </w:r>
            <w:r w:rsidR="00C1578A" w:rsidRPr="00C44A42">
              <w:rPr>
                <w:sz w:val="24"/>
                <w:szCs w:val="24"/>
              </w:rPr>
              <w:t xml:space="preserve"> compliant inpatient and tertiary cancer Endoscopy facility on D floor at QMC, to </w:t>
            </w:r>
            <w:r w:rsidR="00ED45B1" w:rsidRPr="00C44A42">
              <w:rPr>
                <w:sz w:val="24"/>
                <w:szCs w:val="24"/>
              </w:rPr>
              <w:t>support improvements to</w:t>
            </w:r>
            <w:r w:rsidR="00C1578A" w:rsidRPr="00C44A42">
              <w:rPr>
                <w:sz w:val="24"/>
                <w:szCs w:val="24"/>
              </w:rPr>
              <w:t xml:space="preserve"> patient care, patient safety and the workforce in multiple parts of the current pathway.</w:t>
            </w:r>
          </w:p>
          <w:p w14:paraId="762BC25E" w14:textId="000442C9" w:rsidR="00C1578A" w:rsidRPr="00C44A42" w:rsidRDefault="00C1578A" w:rsidP="00C44A42">
            <w:pPr>
              <w:pStyle w:val="ListParagraph"/>
              <w:numPr>
                <w:ilvl w:val="0"/>
                <w:numId w:val="13"/>
              </w:numPr>
              <w:rPr>
                <w:sz w:val="24"/>
                <w:szCs w:val="24"/>
              </w:rPr>
            </w:pPr>
            <w:r w:rsidRPr="00C44A42">
              <w:rPr>
                <w:sz w:val="24"/>
                <w:szCs w:val="24"/>
              </w:rPr>
              <w:t xml:space="preserve">Ongoing BAU spend </w:t>
            </w:r>
            <w:r w:rsidR="009E7E77" w:rsidRPr="00C44A42">
              <w:rPr>
                <w:sz w:val="24"/>
                <w:szCs w:val="24"/>
              </w:rPr>
              <w:t>will need to be managed on Estates,</w:t>
            </w:r>
            <w:r w:rsidRPr="00C44A42">
              <w:rPr>
                <w:sz w:val="24"/>
                <w:szCs w:val="24"/>
              </w:rPr>
              <w:t xml:space="preserve"> medical equipment and ICT to facilitate the extent of </w:t>
            </w:r>
            <w:r w:rsidR="00ED45B1" w:rsidRPr="00C44A42">
              <w:rPr>
                <w:sz w:val="24"/>
                <w:szCs w:val="24"/>
              </w:rPr>
              <w:t>p</w:t>
            </w:r>
            <w:r w:rsidRPr="00C44A42">
              <w:rPr>
                <w:sz w:val="24"/>
                <w:szCs w:val="24"/>
              </w:rPr>
              <w:t>re-commitments going into 202</w:t>
            </w:r>
            <w:r w:rsidR="009E7E77" w:rsidRPr="00C44A42">
              <w:rPr>
                <w:sz w:val="24"/>
                <w:szCs w:val="24"/>
              </w:rPr>
              <w:t>5</w:t>
            </w:r>
            <w:r w:rsidRPr="00C44A42">
              <w:rPr>
                <w:sz w:val="24"/>
                <w:szCs w:val="24"/>
              </w:rPr>
              <w:t>/2</w:t>
            </w:r>
            <w:r w:rsidR="009E7E77" w:rsidRPr="00C44A42">
              <w:rPr>
                <w:sz w:val="24"/>
                <w:szCs w:val="24"/>
              </w:rPr>
              <w:t>6</w:t>
            </w:r>
            <w:r w:rsidRPr="00C44A42">
              <w:rPr>
                <w:sz w:val="24"/>
                <w:szCs w:val="24"/>
              </w:rPr>
              <w:t>.</w:t>
            </w:r>
          </w:p>
          <w:p w14:paraId="30BD305D" w14:textId="0754760E" w:rsidR="003B301D" w:rsidRDefault="00C1578A" w:rsidP="00C44A42">
            <w:pPr>
              <w:rPr>
                <w:color w:val="FF0000"/>
                <w:sz w:val="24"/>
                <w:szCs w:val="24"/>
              </w:rPr>
            </w:pPr>
            <w:r w:rsidRPr="00C44A42">
              <w:rPr>
                <w:color w:val="FF0000"/>
                <w:sz w:val="24"/>
                <w:szCs w:val="24"/>
              </w:rPr>
              <w:t xml:space="preserve"> </w:t>
            </w:r>
          </w:p>
          <w:p w14:paraId="1F7C30E0" w14:textId="77777777" w:rsidR="00C95D21" w:rsidRPr="00C95D21" w:rsidRDefault="00C95D21" w:rsidP="00C95D21">
            <w:pPr>
              <w:rPr>
                <w:b/>
                <w:bCs/>
                <w:sz w:val="24"/>
                <w:szCs w:val="24"/>
                <w:u w:val="single"/>
              </w:rPr>
            </w:pPr>
            <w:r w:rsidRPr="00C95D21">
              <w:rPr>
                <w:b/>
                <w:bCs/>
                <w:sz w:val="24"/>
                <w:szCs w:val="24"/>
                <w:u w:val="single"/>
              </w:rPr>
              <w:t>Sherwood Forest Hospitals</w:t>
            </w:r>
          </w:p>
          <w:p w14:paraId="7A6BCE19" w14:textId="77777777" w:rsidR="00C95D21" w:rsidRPr="00C95D21" w:rsidRDefault="00C95D21" w:rsidP="00C95D21">
            <w:pPr>
              <w:rPr>
                <w:sz w:val="24"/>
                <w:szCs w:val="24"/>
              </w:rPr>
            </w:pPr>
            <w:r w:rsidRPr="00C95D21">
              <w:rPr>
                <w:sz w:val="24"/>
                <w:szCs w:val="24"/>
              </w:rPr>
              <w:t>Significant schemes in the 2025/26 plan include:</w:t>
            </w:r>
          </w:p>
          <w:p w14:paraId="14CE954A" w14:textId="2BEDEE18" w:rsidR="00C95D21" w:rsidRPr="00C95D21" w:rsidRDefault="00C95D21" w:rsidP="00C95D21">
            <w:pPr>
              <w:pStyle w:val="ListParagraph"/>
              <w:numPr>
                <w:ilvl w:val="0"/>
                <w:numId w:val="37"/>
              </w:numPr>
              <w:ind w:left="306" w:hanging="306"/>
              <w:rPr>
                <w:sz w:val="24"/>
                <w:szCs w:val="24"/>
              </w:rPr>
            </w:pPr>
            <w:r w:rsidRPr="00C95D21">
              <w:rPr>
                <w:sz w:val="24"/>
                <w:szCs w:val="24"/>
              </w:rPr>
              <w:t xml:space="preserve">The completion of a Community Diagnostic Centre (CDC) in Mansfield. This is a Nationally approved scheme started in 2022/23 due to be completed in 25/26 with planned expenditure of £5.01m in 25/26. The Nottingham and Nottinghamshire ICS programme seeks to reduce health inequalities as evidence has shown that residents who live in high areas of deprivation are more likely to experience poorer health outcomes. </w:t>
            </w:r>
            <w:r w:rsidR="00960987">
              <w:rPr>
                <w:sz w:val="24"/>
                <w:szCs w:val="24"/>
              </w:rPr>
              <w:t>N</w:t>
            </w:r>
            <w:r w:rsidRPr="00C95D21">
              <w:rPr>
                <w:sz w:val="24"/>
                <w:szCs w:val="24"/>
              </w:rPr>
              <w:t xml:space="preserve">ational funding received </w:t>
            </w:r>
            <w:r w:rsidR="00960987">
              <w:rPr>
                <w:sz w:val="24"/>
                <w:szCs w:val="24"/>
              </w:rPr>
              <w:t>is</w:t>
            </w:r>
            <w:r w:rsidRPr="00C95D21">
              <w:rPr>
                <w:sz w:val="24"/>
                <w:szCs w:val="24"/>
              </w:rPr>
              <w:t xml:space="preserve"> £22.51m</w:t>
            </w:r>
            <w:r w:rsidR="00960987">
              <w:rPr>
                <w:sz w:val="24"/>
                <w:szCs w:val="24"/>
              </w:rPr>
              <w:t>, and any costs above this will be met through Sherwood Forest Hospitals share of the system envelope.</w:t>
            </w:r>
          </w:p>
          <w:p w14:paraId="5441E344" w14:textId="4ECADD8A" w:rsidR="00C95D21" w:rsidRPr="00C95D21" w:rsidRDefault="00C95D21" w:rsidP="00C95D21">
            <w:pPr>
              <w:pStyle w:val="ListParagraph"/>
              <w:numPr>
                <w:ilvl w:val="0"/>
                <w:numId w:val="37"/>
              </w:numPr>
              <w:ind w:left="306" w:hanging="306"/>
              <w:rPr>
                <w:sz w:val="24"/>
                <w:szCs w:val="24"/>
              </w:rPr>
            </w:pPr>
            <w:r w:rsidRPr="00C95D21">
              <w:rPr>
                <w:sz w:val="24"/>
                <w:szCs w:val="24"/>
              </w:rPr>
              <w:t>Ongoing implementation of an Electronic Patient record system, expenditure of £10.67m planned in 2025/26 as part of the NHS Frontline Digitisation programme. This will be a key enabler of the ambition to develop the single summary health and care record across the Integrated Care System (ICS) and will be a core data source for the development of the Population Health Management capability.</w:t>
            </w:r>
          </w:p>
          <w:p w14:paraId="7EB8880F" w14:textId="199F7EFC" w:rsidR="00C95D21" w:rsidRPr="00C95D21" w:rsidRDefault="00C95D21" w:rsidP="00C95D21">
            <w:pPr>
              <w:pStyle w:val="ListParagraph"/>
              <w:numPr>
                <w:ilvl w:val="0"/>
                <w:numId w:val="37"/>
              </w:numPr>
              <w:ind w:left="306" w:hanging="306"/>
              <w:rPr>
                <w:sz w:val="24"/>
                <w:szCs w:val="24"/>
              </w:rPr>
            </w:pPr>
            <w:r w:rsidRPr="00C95D21">
              <w:rPr>
                <w:sz w:val="24"/>
                <w:szCs w:val="24"/>
              </w:rPr>
              <w:t>Business as usual replacement of aged medical, I.T equipment and Estates works to ensure continuity of service provision £5.34m.</w:t>
            </w:r>
          </w:p>
          <w:p w14:paraId="1BA3B4BF" w14:textId="759FD845" w:rsidR="00C95D21" w:rsidRPr="00C95D21" w:rsidRDefault="00C95D21" w:rsidP="00C95D21">
            <w:pPr>
              <w:pStyle w:val="ListParagraph"/>
              <w:numPr>
                <w:ilvl w:val="0"/>
                <w:numId w:val="37"/>
              </w:numPr>
              <w:ind w:left="306" w:hanging="306"/>
              <w:rPr>
                <w:sz w:val="24"/>
                <w:szCs w:val="24"/>
              </w:rPr>
            </w:pPr>
            <w:r w:rsidRPr="00C95D21">
              <w:rPr>
                <w:sz w:val="24"/>
                <w:szCs w:val="24"/>
              </w:rPr>
              <w:t>Construction of new build MRI facilities with a forecast expenditure of £9.90m across 2025 – 2027.</w:t>
            </w:r>
          </w:p>
          <w:p w14:paraId="787DFA4C" w14:textId="77777777" w:rsidR="00C95D21" w:rsidRDefault="00C95D21" w:rsidP="00C95D21">
            <w:pPr>
              <w:rPr>
                <w:color w:val="FF0000"/>
                <w:sz w:val="24"/>
                <w:szCs w:val="24"/>
                <w:u w:val="single"/>
              </w:rPr>
            </w:pPr>
          </w:p>
          <w:p w14:paraId="226DCC56" w14:textId="77777777" w:rsidR="00C44A42" w:rsidRPr="003B57DF" w:rsidRDefault="00C44A42" w:rsidP="00C44A42">
            <w:pPr>
              <w:rPr>
                <w:b/>
                <w:bCs/>
                <w:sz w:val="24"/>
                <w:szCs w:val="24"/>
                <w:u w:val="single"/>
              </w:rPr>
            </w:pPr>
            <w:r w:rsidRPr="003B57DF">
              <w:rPr>
                <w:b/>
                <w:bCs/>
                <w:sz w:val="24"/>
                <w:szCs w:val="24"/>
                <w:u w:val="single"/>
              </w:rPr>
              <w:t xml:space="preserve">Nottinghamshire Healthcare </w:t>
            </w:r>
          </w:p>
          <w:p w14:paraId="52A2EB63" w14:textId="72843650" w:rsidR="00DE6F52" w:rsidRDefault="00C44A42" w:rsidP="00C44A42">
            <w:pPr>
              <w:rPr>
                <w:sz w:val="24"/>
                <w:szCs w:val="24"/>
              </w:rPr>
            </w:pPr>
            <w:r w:rsidRPr="003B57DF">
              <w:rPr>
                <w:sz w:val="24"/>
                <w:szCs w:val="24"/>
              </w:rPr>
              <w:t xml:space="preserve">NHT have </w:t>
            </w:r>
            <w:r w:rsidR="0024686B">
              <w:rPr>
                <w:sz w:val="24"/>
                <w:szCs w:val="24"/>
              </w:rPr>
              <w:t xml:space="preserve">planned for </w:t>
            </w:r>
            <w:r w:rsidRPr="003B57DF">
              <w:rPr>
                <w:sz w:val="24"/>
                <w:szCs w:val="24"/>
              </w:rPr>
              <w:t>£</w:t>
            </w:r>
            <w:r w:rsidR="005339FB">
              <w:rPr>
                <w:sz w:val="24"/>
                <w:szCs w:val="24"/>
              </w:rPr>
              <w:t>20.2</w:t>
            </w:r>
            <w:r w:rsidRPr="003B57DF">
              <w:rPr>
                <w:sz w:val="24"/>
                <w:szCs w:val="24"/>
              </w:rPr>
              <w:t>m capital resource for 2025/26 inclusive an allocation of £13.</w:t>
            </w:r>
            <w:r w:rsidR="002C088C">
              <w:rPr>
                <w:sz w:val="24"/>
                <w:szCs w:val="24"/>
              </w:rPr>
              <w:t>5</w:t>
            </w:r>
            <w:r w:rsidRPr="003B57DF">
              <w:rPr>
                <w:sz w:val="24"/>
                <w:szCs w:val="24"/>
              </w:rPr>
              <w:t>m from the system capital envelope, £2.</w:t>
            </w:r>
            <w:r w:rsidR="005339FB">
              <w:rPr>
                <w:sz w:val="24"/>
                <w:szCs w:val="24"/>
              </w:rPr>
              <w:t>6</w:t>
            </w:r>
            <w:r w:rsidRPr="003B57DF">
              <w:rPr>
                <w:sz w:val="24"/>
                <w:szCs w:val="24"/>
              </w:rPr>
              <w:t>m from estates safety funding</w:t>
            </w:r>
            <w:r w:rsidR="005339FB">
              <w:rPr>
                <w:sz w:val="24"/>
                <w:szCs w:val="24"/>
              </w:rPr>
              <w:t>,</w:t>
            </w:r>
            <w:r w:rsidRPr="003B57DF">
              <w:rPr>
                <w:sz w:val="24"/>
                <w:szCs w:val="24"/>
              </w:rPr>
              <w:t xml:space="preserve"> £2m from national frontline digitation funding</w:t>
            </w:r>
            <w:r w:rsidR="005339FB">
              <w:rPr>
                <w:sz w:val="24"/>
                <w:szCs w:val="24"/>
              </w:rPr>
              <w:t>, £0.8m for MH OOA placements and an indicative plan (funding not yet confirmed) for mental health dormitories</w:t>
            </w:r>
            <w:r w:rsidR="00DE6F52">
              <w:rPr>
                <w:sz w:val="24"/>
                <w:szCs w:val="24"/>
              </w:rPr>
              <w:t xml:space="preserve"> of £0.6m</w:t>
            </w:r>
            <w:r w:rsidR="005339FB">
              <w:rPr>
                <w:sz w:val="24"/>
                <w:szCs w:val="24"/>
              </w:rPr>
              <w:t>.</w:t>
            </w:r>
          </w:p>
          <w:p w14:paraId="3EC832C9" w14:textId="77777777" w:rsidR="00DE6F52" w:rsidRPr="003B57DF" w:rsidRDefault="00DE6F52" w:rsidP="00C44A42">
            <w:pPr>
              <w:rPr>
                <w:sz w:val="24"/>
                <w:szCs w:val="24"/>
              </w:rPr>
            </w:pPr>
          </w:p>
          <w:p w14:paraId="3261A951" w14:textId="67F14DD6" w:rsidR="00C44A42" w:rsidRPr="00960987" w:rsidRDefault="00C44A42" w:rsidP="00C44A42">
            <w:pPr>
              <w:rPr>
                <w:sz w:val="24"/>
                <w:szCs w:val="24"/>
              </w:rPr>
            </w:pPr>
            <w:r w:rsidRPr="004205E1">
              <w:rPr>
                <w:sz w:val="24"/>
                <w:szCs w:val="24"/>
              </w:rPr>
              <w:t>Significant schemes in the 2025/26 plan include:</w:t>
            </w:r>
          </w:p>
          <w:p w14:paraId="768DB623" w14:textId="77777777" w:rsidR="004205E1" w:rsidRPr="004205E1" w:rsidRDefault="004205E1" w:rsidP="00C44A42">
            <w:pPr>
              <w:rPr>
                <w:sz w:val="24"/>
                <w:szCs w:val="24"/>
              </w:rPr>
            </w:pPr>
          </w:p>
          <w:p w14:paraId="0C0932D7" w14:textId="6E169028" w:rsidR="004205E1" w:rsidRPr="00960987" w:rsidRDefault="004205E1" w:rsidP="003B57DF">
            <w:pPr>
              <w:pStyle w:val="ListParagraph"/>
              <w:numPr>
                <w:ilvl w:val="0"/>
                <w:numId w:val="34"/>
              </w:numPr>
              <w:ind w:left="1014" w:hanging="294"/>
              <w:rPr>
                <w:sz w:val="24"/>
                <w:szCs w:val="24"/>
              </w:rPr>
            </w:pPr>
            <w:r w:rsidRPr="004205E1">
              <w:rPr>
                <w:sz w:val="24"/>
                <w:szCs w:val="24"/>
              </w:rPr>
              <w:t>The Trust’s frontline digitisation EPR programme (</w:t>
            </w:r>
            <w:r w:rsidR="00C44A42" w:rsidRPr="004205E1">
              <w:rPr>
                <w:sz w:val="24"/>
                <w:szCs w:val="24"/>
              </w:rPr>
              <w:t xml:space="preserve">Digi-Care) </w:t>
            </w:r>
            <w:r w:rsidRPr="00960987">
              <w:rPr>
                <w:sz w:val="24"/>
                <w:szCs w:val="24"/>
              </w:rPr>
              <w:t>representing the second year of implementation (£2m).</w:t>
            </w:r>
          </w:p>
          <w:p w14:paraId="6756E5F1" w14:textId="237663AE" w:rsidR="00C44A42" w:rsidRPr="004205E1" w:rsidRDefault="00C44A42" w:rsidP="003B57DF">
            <w:pPr>
              <w:pStyle w:val="ListParagraph"/>
              <w:numPr>
                <w:ilvl w:val="0"/>
                <w:numId w:val="34"/>
              </w:numPr>
              <w:ind w:left="1014" w:hanging="294"/>
              <w:rPr>
                <w:sz w:val="24"/>
                <w:szCs w:val="24"/>
              </w:rPr>
            </w:pPr>
            <w:proofErr w:type="spellStart"/>
            <w:r w:rsidRPr="004205E1">
              <w:rPr>
                <w:sz w:val="24"/>
                <w:szCs w:val="24"/>
              </w:rPr>
              <w:lastRenderedPageBreak/>
              <w:t>Blossomwood</w:t>
            </w:r>
            <w:proofErr w:type="spellEnd"/>
            <w:r w:rsidRPr="004205E1">
              <w:rPr>
                <w:sz w:val="24"/>
                <w:szCs w:val="24"/>
              </w:rPr>
              <w:t xml:space="preserve"> eradication of dormitories project that is scheduled to be finalised in Sept 2025 (£4.</w:t>
            </w:r>
            <w:r w:rsidR="004205E1" w:rsidRPr="00960987">
              <w:rPr>
                <w:sz w:val="24"/>
                <w:szCs w:val="24"/>
              </w:rPr>
              <w:t>9</w:t>
            </w:r>
            <w:r w:rsidRPr="004205E1">
              <w:rPr>
                <w:sz w:val="24"/>
                <w:szCs w:val="24"/>
              </w:rPr>
              <w:t>m)</w:t>
            </w:r>
            <w:r w:rsidR="004205E1" w:rsidRPr="00960987">
              <w:rPr>
                <w:sz w:val="24"/>
                <w:szCs w:val="24"/>
              </w:rPr>
              <w:t>.</w:t>
            </w:r>
          </w:p>
          <w:p w14:paraId="0BC04C5C" w14:textId="598E6DDD" w:rsidR="00C44A42" w:rsidRPr="004205E1" w:rsidRDefault="004205E1" w:rsidP="003B57DF">
            <w:pPr>
              <w:pStyle w:val="ListParagraph"/>
              <w:numPr>
                <w:ilvl w:val="0"/>
                <w:numId w:val="34"/>
              </w:numPr>
              <w:ind w:left="1014" w:hanging="294"/>
              <w:rPr>
                <w:sz w:val="24"/>
                <w:szCs w:val="24"/>
              </w:rPr>
            </w:pPr>
            <w:r w:rsidRPr="00960987">
              <w:rPr>
                <w:sz w:val="24"/>
                <w:szCs w:val="24"/>
              </w:rPr>
              <w:t>Completion of the h</w:t>
            </w:r>
            <w:r w:rsidR="00C44A42" w:rsidRPr="004205E1">
              <w:rPr>
                <w:sz w:val="24"/>
                <w:szCs w:val="24"/>
              </w:rPr>
              <w:t>igh voltage infrastructure work at Rampton (£0.5m) and an upgraded Perimeter Intrusion Detection System (PIDS) at Rampton Hospital at (£0.</w:t>
            </w:r>
            <w:r w:rsidRPr="00960987">
              <w:rPr>
                <w:sz w:val="24"/>
                <w:szCs w:val="24"/>
              </w:rPr>
              <w:t>9</w:t>
            </w:r>
            <w:r w:rsidR="00C44A42" w:rsidRPr="004205E1">
              <w:rPr>
                <w:sz w:val="24"/>
                <w:szCs w:val="24"/>
              </w:rPr>
              <w:t>m)</w:t>
            </w:r>
            <w:r w:rsidRPr="00960987">
              <w:rPr>
                <w:sz w:val="24"/>
                <w:szCs w:val="24"/>
              </w:rPr>
              <w:t>.</w:t>
            </w:r>
          </w:p>
          <w:p w14:paraId="3096CB32" w14:textId="20D4C9E5" w:rsidR="00C036FB" w:rsidRPr="003B57DF" w:rsidRDefault="00C036FB" w:rsidP="00960987">
            <w:pPr>
              <w:pStyle w:val="ListParagraph"/>
              <w:ind w:left="1014"/>
              <w:rPr>
                <w:color w:val="FF0000"/>
                <w:sz w:val="24"/>
                <w:szCs w:val="24"/>
              </w:rPr>
            </w:pPr>
          </w:p>
        </w:tc>
      </w:tr>
    </w:tbl>
    <w:p w14:paraId="437036BF" w14:textId="77777777" w:rsidR="002C3F9D" w:rsidRDefault="002C3F9D">
      <w:pPr>
        <w:rPr>
          <w:b/>
          <w:bCs/>
          <w:color w:val="FF0000"/>
          <w:sz w:val="24"/>
          <w:szCs w:val="24"/>
        </w:rPr>
      </w:pP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016"/>
      </w:tblGrid>
      <w:tr w:rsidR="002C3F9D" w:rsidRPr="000458A0" w14:paraId="18B14EBA" w14:textId="77777777" w:rsidTr="007C1067">
        <w:trPr>
          <w:trHeight w:val="605"/>
        </w:trPr>
        <w:tc>
          <w:tcPr>
            <w:tcW w:w="9016" w:type="dxa"/>
            <w:shd w:val="clear" w:color="auto" w:fill="2F5496" w:themeFill="accent1" w:themeFillShade="BF"/>
            <w:vAlign w:val="center"/>
          </w:tcPr>
          <w:p w14:paraId="103D3F47" w14:textId="7AE22770" w:rsidR="002C3F9D" w:rsidRPr="000458A0" w:rsidRDefault="002C3F9D" w:rsidP="007C1067">
            <w:pPr>
              <w:rPr>
                <w:i/>
                <w:iCs/>
                <w:color w:val="FF0000"/>
                <w:sz w:val="18"/>
                <w:szCs w:val="18"/>
              </w:rPr>
            </w:pPr>
            <w:r w:rsidRPr="00975F7E">
              <w:rPr>
                <w:b/>
                <w:bCs/>
                <w:color w:val="FFFFFF" w:themeColor="background1"/>
                <w:sz w:val="24"/>
                <w:szCs w:val="24"/>
              </w:rPr>
              <w:t>Business Cases in 2025/26</w:t>
            </w:r>
            <w:r w:rsidRPr="00975F7E">
              <w:rPr>
                <w:i/>
                <w:iCs/>
                <w:color w:val="FFFFFF" w:themeColor="background1"/>
                <w:sz w:val="18"/>
                <w:szCs w:val="18"/>
              </w:rPr>
              <w:t>.</w:t>
            </w:r>
          </w:p>
        </w:tc>
      </w:tr>
      <w:tr w:rsidR="002C3F9D" w:rsidRPr="000458A0" w14:paraId="309CA2D4" w14:textId="77777777" w:rsidTr="00F50641">
        <w:trPr>
          <w:trHeight w:val="841"/>
        </w:trPr>
        <w:tc>
          <w:tcPr>
            <w:tcW w:w="9016" w:type="dxa"/>
            <w:shd w:val="clear" w:color="auto" w:fill="FFFFFF" w:themeFill="background1"/>
          </w:tcPr>
          <w:p w14:paraId="1EE2AF0D" w14:textId="77777777" w:rsidR="00D1664B" w:rsidRDefault="00D1664B" w:rsidP="007C1067">
            <w:pPr>
              <w:rPr>
                <w:color w:val="FF0000"/>
                <w:sz w:val="24"/>
                <w:szCs w:val="24"/>
              </w:rPr>
            </w:pPr>
            <w:bookmarkStart w:id="2" w:name="_Hlk193189502"/>
          </w:p>
          <w:p w14:paraId="4912E844" w14:textId="77777777" w:rsidR="00D1664B" w:rsidRPr="00C44A42" w:rsidRDefault="00D1664B" w:rsidP="00C44A42">
            <w:pPr>
              <w:rPr>
                <w:b/>
                <w:bCs/>
                <w:sz w:val="24"/>
                <w:szCs w:val="24"/>
                <w:u w:val="single"/>
              </w:rPr>
            </w:pPr>
            <w:r w:rsidRPr="00C44A42">
              <w:rPr>
                <w:b/>
                <w:bCs/>
                <w:sz w:val="24"/>
                <w:szCs w:val="24"/>
                <w:u w:val="single"/>
              </w:rPr>
              <w:t>Electronic Patient Record (EPR)</w:t>
            </w:r>
          </w:p>
          <w:p w14:paraId="485D8BF5" w14:textId="04BFC483" w:rsidR="00D1664B" w:rsidRPr="00C44A42" w:rsidRDefault="00D1664B" w:rsidP="00C44A42">
            <w:pPr>
              <w:rPr>
                <w:sz w:val="24"/>
                <w:szCs w:val="24"/>
              </w:rPr>
            </w:pPr>
            <w:r w:rsidRPr="00C44A42">
              <w:rPr>
                <w:sz w:val="24"/>
                <w:szCs w:val="24"/>
              </w:rPr>
              <w:t xml:space="preserve">All three Providers have business cases approved or being finalised.  Implementing or optimising an existing EPR is a key element of the delivery of our ICS frontline digitisation strategy as well as meeting national standards.  The roll out of Nerve Centre is underway in NUH, NHT are currently working through a programme of </w:t>
            </w:r>
            <w:r w:rsidR="00327C7A" w:rsidRPr="00C44A42">
              <w:rPr>
                <w:sz w:val="24"/>
                <w:szCs w:val="24"/>
              </w:rPr>
              <w:t>enhancing and</w:t>
            </w:r>
            <w:r w:rsidRPr="00C44A42">
              <w:rPr>
                <w:sz w:val="24"/>
                <w:szCs w:val="24"/>
              </w:rPr>
              <w:t xml:space="preserve"> optimising the use of SystemOne and Rio and SFH are live with their procurement process with implementation commencing in 2025/26.</w:t>
            </w:r>
          </w:p>
          <w:p w14:paraId="3135A175" w14:textId="77777777" w:rsidR="00D1664B" w:rsidRDefault="00D1664B" w:rsidP="007C1067">
            <w:pPr>
              <w:rPr>
                <w:color w:val="FF0000"/>
                <w:sz w:val="24"/>
                <w:szCs w:val="24"/>
              </w:rPr>
            </w:pPr>
          </w:p>
          <w:p w14:paraId="50610409" w14:textId="541078CD" w:rsidR="00D1664B" w:rsidRPr="00F50641" w:rsidRDefault="00F50641" w:rsidP="007C1067">
            <w:pPr>
              <w:rPr>
                <w:b/>
                <w:bCs/>
                <w:sz w:val="24"/>
                <w:szCs w:val="24"/>
                <w:u w:val="single"/>
              </w:rPr>
            </w:pPr>
            <w:r w:rsidRPr="00F50641">
              <w:rPr>
                <w:b/>
                <w:bCs/>
                <w:sz w:val="24"/>
                <w:szCs w:val="24"/>
                <w:u w:val="single"/>
              </w:rPr>
              <w:t>Mental Health Dormitories</w:t>
            </w:r>
          </w:p>
          <w:p w14:paraId="0DD3A4E0" w14:textId="4C44728D" w:rsidR="00D1664B" w:rsidRDefault="00F50641" w:rsidP="007C1067">
            <w:pPr>
              <w:rPr>
                <w:sz w:val="24"/>
                <w:szCs w:val="24"/>
              </w:rPr>
            </w:pPr>
            <w:r w:rsidRPr="00F50641">
              <w:rPr>
                <w:sz w:val="24"/>
                <w:szCs w:val="24"/>
              </w:rPr>
              <w:t>The system has had a particular focus on the eradication of mental health dormitories.  Sherwood Oaks has been completed and is operational with Blossomwood (previously Millbrook) scheduled to be finalised in September 2025.  A short form business case has been submitted to NHSE to redesign and improve Cherry Ward (Highbury Hospital) eradicating dormitory accommodation with inpatient wards (the final stage) with national funding to support the project being scoped.</w:t>
            </w:r>
            <w:r w:rsidR="00773B80">
              <w:rPr>
                <w:sz w:val="24"/>
                <w:szCs w:val="24"/>
              </w:rPr>
              <w:t xml:space="preserve">  This case will also be taken through the </w:t>
            </w:r>
            <w:r w:rsidR="0024686B">
              <w:rPr>
                <w:sz w:val="24"/>
                <w:szCs w:val="24"/>
              </w:rPr>
              <w:t>system</w:t>
            </w:r>
            <w:r w:rsidR="00773B80">
              <w:rPr>
                <w:sz w:val="24"/>
                <w:szCs w:val="24"/>
              </w:rPr>
              <w:t xml:space="preserve"> governance process</w:t>
            </w:r>
            <w:r w:rsidR="0024686B">
              <w:rPr>
                <w:sz w:val="24"/>
                <w:szCs w:val="24"/>
              </w:rPr>
              <w:t>es</w:t>
            </w:r>
            <w:r w:rsidR="00773B80">
              <w:rPr>
                <w:sz w:val="24"/>
                <w:szCs w:val="24"/>
              </w:rPr>
              <w:t>.</w:t>
            </w:r>
          </w:p>
          <w:p w14:paraId="600EE233" w14:textId="77777777" w:rsidR="000812D0" w:rsidRDefault="000812D0" w:rsidP="007C1067">
            <w:pPr>
              <w:rPr>
                <w:sz w:val="24"/>
                <w:szCs w:val="24"/>
              </w:rPr>
            </w:pPr>
          </w:p>
          <w:p w14:paraId="5359268A" w14:textId="145CE8C2" w:rsidR="000812D0" w:rsidRPr="000812D0" w:rsidRDefault="000812D0" w:rsidP="007C1067">
            <w:pPr>
              <w:rPr>
                <w:b/>
                <w:bCs/>
                <w:sz w:val="24"/>
                <w:szCs w:val="24"/>
                <w:u w:val="single"/>
              </w:rPr>
            </w:pPr>
            <w:r w:rsidRPr="000812D0">
              <w:rPr>
                <w:b/>
                <w:bCs/>
                <w:sz w:val="24"/>
                <w:szCs w:val="24"/>
                <w:u w:val="single"/>
              </w:rPr>
              <w:t>New Hospitals Programme (NHP)</w:t>
            </w:r>
          </w:p>
          <w:p w14:paraId="36FF4934" w14:textId="35B42303" w:rsidR="000812D0" w:rsidRPr="000812D0" w:rsidRDefault="000812D0" w:rsidP="000812D0">
            <w:pPr>
              <w:rPr>
                <w:sz w:val="24"/>
                <w:szCs w:val="24"/>
              </w:rPr>
            </w:pPr>
            <w:r w:rsidRPr="000812D0">
              <w:rPr>
                <w:sz w:val="24"/>
                <w:szCs w:val="24"/>
              </w:rPr>
              <w:t>In January 2025, the outcome of the Government’s review of the national New Hospital Programme (NHP) was announced. The “Tomorrow’s NUH” (TNUH) Programme was part of that review and as a result, the start date revised to 2037-2039 period compared to an original start period of 2025-2027.</w:t>
            </w:r>
            <w:r w:rsidR="00D70CE9">
              <w:rPr>
                <w:sz w:val="24"/>
                <w:szCs w:val="24"/>
              </w:rPr>
              <w:t xml:space="preserve"> </w:t>
            </w:r>
            <w:r w:rsidRPr="000812D0">
              <w:rPr>
                <w:sz w:val="24"/>
                <w:szCs w:val="24"/>
              </w:rPr>
              <w:t>This represents a significant change for the project leading to the national NHP team advising NUH that all funding associated with TNUH be paused until 2030 at the earliest. That act has an impact on the costs that have been incurred to date, which so far have been shown as an asset in NUH’s accounts. This will now have to be impaired, i.e. reduced in value.</w:t>
            </w:r>
          </w:p>
          <w:p w14:paraId="7CD4567F" w14:textId="77777777" w:rsidR="000812D0" w:rsidRDefault="000812D0" w:rsidP="007C1067">
            <w:pPr>
              <w:rPr>
                <w:sz w:val="24"/>
                <w:szCs w:val="24"/>
              </w:rPr>
            </w:pPr>
          </w:p>
          <w:bookmarkEnd w:id="2"/>
          <w:p w14:paraId="43B0F261" w14:textId="1D3E0DFC" w:rsidR="00760A31" w:rsidRPr="00EA4FD0" w:rsidRDefault="00760A31" w:rsidP="00F50641">
            <w:pPr>
              <w:rPr>
                <w:b/>
                <w:bCs/>
                <w:sz w:val="24"/>
                <w:szCs w:val="24"/>
                <w:u w:val="single"/>
              </w:rPr>
            </w:pPr>
            <w:r w:rsidRPr="00EA4FD0">
              <w:rPr>
                <w:b/>
                <w:bCs/>
                <w:sz w:val="24"/>
                <w:szCs w:val="24"/>
                <w:u w:val="single"/>
              </w:rPr>
              <w:t xml:space="preserve">Community Diagnostic </w:t>
            </w:r>
            <w:r w:rsidR="00EA4FD0" w:rsidRPr="00EA4FD0">
              <w:rPr>
                <w:b/>
                <w:bCs/>
                <w:sz w:val="24"/>
                <w:szCs w:val="24"/>
                <w:u w:val="single"/>
              </w:rPr>
              <w:t>Centres (CDCs)</w:t>
            </w:r>
          </w:p>
          <w:p w14:paraId="209288F3" w14:textId="429ED75B" w:rsidR="002C3F9D" w:rsidRPr="000458A0" w:rsidRDefault="00EA4FD0" w:rsidP="00F50641">
            <w:pPr>
              <w:rPr>
                <w:color w:val="FF0000"/>
                <w:sz w:val="24"/>
                <w:szCs w:val="24"/>
              </w:rPr>
            </w:pPr>
            <w:r w:rsidRPr="00EA4FD0">
              <w:rPr>
                <w:sz w:val="24"/>
                <w:szCs w:val="24"/>
              </w:rPr>
              <w:t>CDC schemes at Mansfield Community Hospital and in Nottingham City Centre remain in progress. The Mansfield scheme is set for completion during 2025/26 with the Nottingham City Scheme to be completed early in 2026/27. Once operational, the CDCs will provide additional capacity and greater access to key diagnostic services, aiding the delviery of elective performance.</w:t>
            </w:r>
          </w:p>
        </w:tc>
      </w:tr>
    </w:tbl>
    <w:p w14:paraId="6ACB6967" w14:textId="77777777" w:rsidR="002C3F9D" w:rsidRDefault="002C3F9D">
      <w:pPr>
        <w:rPr>
          <w:b/>
          <w:bCs/>
          <w:color w:val="FF0000"/>
          <w:sz w:val="24"/>
          <w:szCs w:val="24"/>
        </w:rPr>
      </w:pP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016"/>
      </w:tblGrid>
      <w:tr w:rsidR="002C3F9D" w:rsidRPr="007A2C46" w14:paraId="3153759D" w14:textId="77777777" w:rsidTr="00EC6A55">
        <w:trPr>
          <w:trHeight w:val="605"/>
        </w:trPr>
        <w:tc>
          <w:tcPr>
            <w:tcW w:w="9016" w:type="dxa"/>
            <w:shd w:val="clear" w:color="auto" w:fill="2F5496" w:themeFill="accent1" w:themeFillShade="BF"/>
            <w:vAlign w:val="center"/>
          </w:tcPr>
          <w:p w14:paraId="26233FCD" w14:textId="77777777" w:rsidR="002C3F9D" w:rsidRPr="007A2C46" w:rsidRDefault="002C3F9D" w:rsidP="007C1067">
            <w:pPr>
              <w:rPr>
                <w:rFonts w:cs="Arial"/>
                <w:i/>
                <w:iCs/>
                <w:color w:val="000000" w:themeColor="text1"/>
                <w:sz w:val="18"/>
                <w:szCs w:val="18"/>
              </w:rPr>
            </w:pPr>
            <w:r w:rsidRPr="00EC6A55">
              <w:rPr>
                <w:rFonts w:cs="Arial"/>
                <w:b/>
                <w:bCs/>
                <w:color w:val="FFFFFF" w:themeColor="background1"/>
              </w:rPr>
              <w:t>Cross-system and collaborative working</w:t>
            </w:r>
          </w:p>
        </w:tc>
      </w:tr>
      <w:tr w:rsidR="002C3F9D" w:rsidRPr="007A2C46" w14:paraId="6B305D8B" w14:textId="77777777" w:rsidTr="00975F7E">
        <w:trPr>
          <w:trHeight w:val="699"/>
        </w:trPr>
        <w:tc>
          <w:tcPr>
            <w:tcW w:w="9016" w:type="dxa"/>
            <w:shd w:val="clear" w:color="auto" w:fill="auto"/>
          </w:tcPr>
          <w:p w14:paraId="3AB0D702" w14:textId="77777777" w:rsidR="00EA4FD0" w:rsidRDefault="002C3F9D" w:rsidP="00C95D21">
            <w:pPr>
              <w:pStyle w:val="Bulletlist"/>
            </w:pPr>
            <w:r w:rsidRPr="00C44A42">
              <w:lastRenderedPageBreak/>
              <w:t xml:space="preserve">As described above, the capital funding provided to the Nottingham &amp; Nottinghamshire system is for use by the 3 provider organisations that form part of the </w:t>
            </w:r>
            <w:r w:rsidR="00EA4FD0">
              <w:t>system as well as capital funding for general practice and ICB corporate services</w:t>
            </w:r>
            <w:r w:rsidRPr="00C44A42">
              <w:t xml:space="preserve">. </w:t>
            </w:r>
          </w:p>
          <w:p w14:paraId="6B6F73E5" w14:textId="77777777" w:rsidR="00EA4FD0" w:rsidRDefault="00EA4FD0" w:rsidP="00C95D21">
            <w:pPr>
              <w:pStyle w:val="Bulletlist"/>
            </w:pPr>
          </w:p>
          <w:p w14:paraId="01799C71" w14:textId="407E71FD" w:rsidR="002C3F9D" w:rsidRPr="00C44A42" w:rsidRDefault="00EA4FD0" w:rsidP="00C95D21">
            <w:pPr>
              <w:pStyle w:val="Bulletlist"/>
              <w:rPr>
                <w:highlight w:val="yellow"/>
              </w:rPr>
            </w:pPr>
            <w:r>
              <w:t>In addition to this</w:t>
            </w:r>
            <w:r w:rsidR="002C3F9D" w:rsidRPr="00C44A42">
              <w:t xml:space="preserve">, East Midlands Ambulance Service and Doncaster and Bassetlaw Hospitals are key service providers within the system and require capital resources to support service pressures and operational priorities.  The capital funds for these providers are routed through other ICBs. However, </w:t>
            </w:r>
            <w:r>
              <w:t>via</w:t>
            </w:r>
            <w:r w:rsidR="002C3F9D" w:rsidRPr="00C44A42">
              <w:t xml:space="preserve"> system forums the N&amp;N ICB is party to decision making for capital funds.  This is particularly true for capital required to support emergency care capacity and elective/diagnostic recovery.</w:t>
            </w:r>
          </w:p>
          <w:p w14:paraId="7FBF5BC4" w14:textId="77777777" w:rsidR="002C3F9D" w:rsidRPr="007A2C46" w:rsidRDefault="002C3F9D" w:rsidP="007C1067">
            <w:pPr>
              <w:pStyle w:val="ListParagraph"/>
              <w:rPr>
                <w:i/>
                <w:iCs/>
              </w:rPr>
            </w:pPr>
          </w:p>
        </w:tc>
      </w:tr>
    </w:tbl>
    <w:p w14:paraId="272D847F" w14:textId="38FE191C" w:rsidR="00C036FB" w:rsidRPr="000458A0" w:rsidRDefault="00C036FB">
      <w:pPr>
        <w:rPr>
          <w:b/>
          <w:bCs/>
          <w:color w:val="FF0000"/>
          <w:sz w:val="24"/>
          <w:szCs w:val="24"/>
        </w:rPr>
      </w:pP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016"/>
      </w:tblGrid>
      <w:tr w:rsidR="000458A0" w:rsidRPr="000458A0" w14:paraId="7F656B23" w14:textId="77777777" w:rsidTr="002C0B65">
        <w:trPr>
          <w:trHeight w:val="605"/>
        </w:trPr>
        <w:tc>
          <w:tcPr>
            <w:tcW w:w="9016" w:type="dxa"/>
            <w:shd w:val="clear" w:color="auto" w:fill="2F5496" w:themeFill="accent1" w:themeFillShade="BF"/>
            <w:vAlign w:val="center"/>
          </w:tcPr>
          <w:p w14:paraId="10614A20" w14:textId="05CE0266" w:rsidR="000D2C9E" w:rsidRPr="000458A0" w:rsidRDefault="000D2C9E" w:rsidP="002C0B65">
            <w:pPr>
              <w:rPr>
                <w:b/>
                <w:bCs/>
                <w:color w:val="FF0000"/>
                <w:sz w:val="24"/>
                <w:szCs w:val="24"/>
              </w:rPr>
            </w:pPr>
            <w:r w:rsidRPr="00AD0B72">
              <w:rPr>
                <w:b/>
                <w:bCs/>
                <w:color w:val="FFFFFF" w:themeColor="background1"/>
                <w:sz w:val="24"/>
                <w:szCs w:val="24"/>
              </w:rPr>
              <w:t>Net Zer</w:t>
            </w:r>
            <w:r w:rsidR="003A4A4B" w:rsidRPr="00AD0B72">
              <w:rPr>
                <w:b/>
                <w:bCs/>
                <w:color w:val="FFFFFF" w:themeColor="background1"/>
                <w:sz w:val="24"/>
                <w:szCs w:val="24"/>
              </w:rPr>
              <w:t>o</w:t>
            </w:r>
            <w:r w:rsidR="002C3F9D">
              <w:rPr>
                <w:b/>
                <w:bCs/>
                <w:color w:val="FFFFFF" w:themeColor="background1"/>
                <w:sz w:val="24"/>
                <w:szCs w:val="24"/>
              </w:rPr>
              <w:t xml:space="preserve"> carbon strategy</w:t>
            </w:r>
            <w:r w:rsidR="00EC6A55">
              <w:rPr>
                <w:b/>
                <w:bCs/>
                <w:color w:val="FFFFFF" w:themeColor="background1"/>
                <w:sz w:val="24"/>
                <w:szCs w:val="24"/>
              </w:rPr>
              <w:t>, approach &amp; progress</w:t>
            </w:r>
          </w:p>
        </w:tc>
      </w:tr>
      <w:tr w:rsidR="000458A0" w:rsidRPr="000458A0" w14:paraId="1649942F" w14:textId="77777777" w:rsidTr="00975F7E">
        <w:trPr>
          <w:trHeight w:val="1266"/>
        </w:trPr>
        <w:tc>
          <w:tcPr>
            <w:tcW w:w="9016" w:type="dxa"/>
            <w:shd w:val="clear" w:color="auto" w:fill="FFFFFF" w:themeFill="background1"/>
          </w:tcPr>
          <w:p w14:paraId="43F1C836" w14:textId="77777777" w:rsidR="00EC6A55" w:rsidRPr="00EA4FD0" w:rsidRDefault="00EC6A55" w:rsidP="00EA4FD0">
            <w:pPr>
              <w:rPr>
                <w:b/>
                <w:bCs/>
                <w:sz w:val="24"/>
                <w:szCs w:val="24"/>
                <w:u w:val="single"/>
              </w:rPr>
            </w:pPr>
            <w:bookmarkStart w:id="3" w:name="_Hlk193123766"/>
            <w:r w:rsidRPr="00EA4FD0">
              <w:rPr>
                <w:b/>
                <w:bCs/>
                <w:sz w:val="24"/>
                <w:szCs w:val="24"/>
                <w:u w:val="single"/>
              </w:rPr>
              <w:t>Overview</w:t>
            </w:r>
          </w:p>
          <w:p w14:paraId="2D9AA286" w14:textId="77777777" w:rsidR="00EC6A55" w:rsidRDefault="00EC6A55" w:rsidP="00EC6A55">
            <w:pPr>
              <w:rPr>
                <w:sz w:val="24"/>
                <w:szCs w:val="24"/>
              </w:rPr>
            </w:pPr>
            <w:r w:rsidRPr="00EC6A55">
              <w:rPr>
                <w:sz w:val="24"/>
                <w:szCs w:val="24"/>
              </w:rPr>
              <w:t>The Nottingham and Nottinghamshire Integrated Care System (ICS) remains fully committed to supporting the NHS England target of achieving net zero carbon emissions. Our strategy, as outlined in the ICS Green Plan, focuses on reducing both direct emissions (NHS Carbon Footprint) and those we can influence (NHS Carbon Footprint Plus). The ICS aims to achieve an 80% reduction in carbon emissions by 2028, with full net zero targeted by 2045. This requires close collaboration with system partners and a structured programme of interventions to embed sustainability across healthcare delivery.</w:t>
            </w:r>
          </w:p>
          <w:p w14:paraId="342D0BAC" w14:textId="77777777" w:rsidR="00EA4FD0" w:rsidRPr="00EC6A55" w:rsidRDefault="00EA4FD0" w:rsidP="00EC6A55">
            <w:pPr>
              <w:rPr>
                <w:sz w:val="24"/>
                <w:szCs w:val="24"/>
              </w:rPr>
            </w:pPr>
          </w:p>
          <w:p w14:paraId="2059BF88" w14:textId="7B182637" w:rsidR="00EC6A55" w:rsidRPr="00EA4FD0" w:rsidRDefault="00EC6A55" w:rsidP="00EA4FD0">
            <w:pPr>
              <w:rPr>
                <w:b/>
                <w:bCs/>
                <w:sz w:val="24"/>
                <w:szCs w:val="24"/>
                <w:u w:val="single"/>
              </w:rPr>
            </w:pPr>
            <w:r w:rsidRPr="00EA4FD0">
              <w:rPr>
                <w:b/>
                <w:bCs/>
                <w:sz w:val="24"/>
                <w:szCs w:val="24"/>
                <w:u w:val="single"/>
              </w:rPr>
              <w:t>Our ICS Approach</w:t>
            </w:r>
          </w:p>
          <w:p w14:paraId="2E157782" w14:textId="77777777" w:rsidR="00EC6A55" w:rsidRDefault="00EC6A55" w:rsidP="00EC6A55">
            <w:pPr>
              <w:rPr>
                <w:sz w:val="24"/>
                <w:szCs w:val="24"/>
              </w:rPr>
            </w:pPr>
            <w:r w:rsidRPr="00EC6A55">
              <w:rPr>
                <w:sz w:val="24"/>
                <w:szCs w:val="24"/>
              </w:rPr>
              <w:t>The ICS Green Plan is delivered through a coordinated approach led by the ICB’s Programme Director, with senior sponsorship coming from the Chief Finance Officer.  A structured programme management approach is in place to track progress and ensure alignment with national net zero targets.  The strategy prioritises several key areas, including estates and energy, procurement, clinical service models, travel, and medicines.  Estates and energy initiatives focus on heat decarbonisation and energy efficiency improvements across NHS buildings.  Procurement efforts are geared toward embedding sustainability into supply chains through the Net Zero Procurement Strategy, ensuring that goods and services align with environmental objectives.  Within clinical service models, efforts are being made to reduce waste and emissions, particularly in areas such as anaesthetic gases and medication use.  Travel and transport are also critical areas of focus, with the development of a sustainable travel strategy and fleet electrification initiatives aimed at reducing transport-related emissions.  Additionally, the ICS is working to reduce nitrous oxide emissions from medical gases and transition to greener inhaler options.</w:t>
            </w:r>
          </w:p>
          <w:p w14:paraId="2C91045C" w14:textId="77777777" w:rsidR="00EA4FD0" w:rsidRPr="00EC6A55" w:rsidRDefault="00EA4FD0" w:rsidP="00EC6A55">
            <w:pPr>
              <w:rPr>
                <w:sz w:val="24"/>
                <w:szCs w:val="24"/>
              </w:rPr>
            </w:pPr>
          </w:p>
          <w:p w14:paraId="08968B6C" w14:textId="02228CD2" w:rsidR="00EC6A55" w:rsidRPr="00EA4FD0" w:rsidRDefault="00EC6A55" w:rsidP="00EA4FD0">
            <w:pPr>
              <w:rPr>
                <w:b/>
                <w:bCs/>
                <w:sz w:val="24"/>
                <w:szCs w:val="24"/>
                <w:u w:val="single"/>
              </w:rPr>
            </w:pPr>
            <w:r w:rsidRPr="00EA4FD0">
              <w:rPr>
                <w:b/>
                <w:bCs/>
                <w:sz w:val="24"/>
                <w:szCs w:val="24"/>
                <w:u w:val="single"/>
              </w:rPr>
              <w:t>Progress &amp; Challenges</w:t>
            </w:r>
          </w:p>
          <w:p w14:paraId="126F75DE" w14:textId="77777777" w:rsidR="00EC6A55" w:rsidRDefault="00EC6A55" w:rsidP="00EC6A55">
            <w:pPr>
              <w:rPr>
                <w:sz w:val="24"/>
                <w:szCs w:val="24"/>
              </w:rPr>
            </w:pPr>
            <w:r w:rsidRPr="00EC6A55">
              <w:rPr>
                <w:sz w:val="24"/>
                <w:szCs w:val="24"/>
              </w:rPr>
              <w:t xml:space="preserve">The ICS’s approach to delivering a system-wide Green Plan has been commended by NHS England, reflecting strong leadership and collaboration. However, recent carbon footprint quantification has indicated that, despite various initiatives, emissions reductions are not yet sufficient to align with the net zero trajectory. This highlights the need for further targeted interventions to accelerate progress. One of the key challenges faced is securing funding and resources for sustainability projects. The ICS has been successful in obtaining approximately £65 million through the Public Sector Decarbonisation Scheme, but future </w:t>
            </w:r>
            <w:r w:rsidRPr="00EC6A55">
              <w:rPr>
                <w:sz w:val="24"/>
                <w:szCs w:val="24"/>
              </w:rPr>
              <w:lastRenderedPageBreak/>
              <w:t>funding rounds are highly competitive and require rapid responses. Some ICS partners, such as Sherwood Forest Hospitals, have raised concerns about having insufficient capacity to apply for these grants effectively.</w:t>
            </w:r>
          </w:p>
          <w:p w14:paraId="556B91F5" w14:textId="77777777" w:rsidR="00CF5382" w:rsidRDefault="00CF5382" w:rsidP="00EC6A55">
            <w:pPr>
              <w:rPr>
                <w:sz w:val="24"/>
                <w:szCs w:val="24"/>
              </w:rPr>
            </w:pPr>
          </w:p>
          <w:p w14:paraId="042FA0B4" w14:textId="77777777" w:rsidR="00CF5382" w:rsidRDefault="00CF5382" w:rsidP="00EC6A55">
            <w:pPr>
              <w:rPr>
                <w:sz w:val="24"/>
                <w:szCs w:val="24"/>
              </w:rPr>
            </w:pPr>
          </w:p>
          <w:p w14:paraId="2CD56725" w14:textId="77777777" w:rsidR="00CF5382" w:rsidRDefault="00CF5382" w:rsidP="00EC6A55">
            <w:pPr>
              <w:rPr>
                <w:sz w:val="24"/>
                <w:szCs w:val="24"/>
              </w:rPr>
            </w:pPr>
          </w:p>
          <w:p w14:paraId="563E018D" w14:textId="77777777" w:rsidR="00EA4FD0" w:rsidRPr="00EC6A55" w:rsidRDefault="00EA4FD0" w:rsidP="00EC6A55">
            <w:pPr>
              <w:rPr>
                <w:sz w:val="24"/>
                <w:szCs w:val="24"/>
              </w:rPr>
            </w:pPr>
          </w:p>
          <w:p w14:paraId="59099200" w14:textId="4A3C446C" w:rsidR="00EC6A55" w:rsidRPr="00EA4FD0" w:rsidRDefault="00EC6A55" w:rsidP="00EA4FD0">
            <w:pPr>
              <w:rPr>
                <w:b/>
                <w:bCs/>
                <w:sz w:val="24"/>
                <w:szCs w:val="24"/>
                <w:u w:val="single"/>
              </w:rPr>
            </w:pPr>
            <w:r w:rsidRPr="00EA4FD0">
              <w:rPr>
                <w:b/>
                <w:bCs/>
                <w:sz w:val="24"/>
                <w:szCs w:val="24"/>
                <w:u w:val="single"/>
              </w:rPr>
              <w:t xml:space="preserve">Key Priorities </w:t>
            </w:r>
          </w:p>
          <w:p w14:paraId="5F32E75C" w14:textId="77777777" w:rsidR="00EC6A55" w:rsidRDefault="00EC6A55" w:rsidP="00EC6A55">
            <w:pPr>
              <w:rPr>
                <w:sz w:val="24"/>
                <w:szCs w:val="24"/>
              </w:rPr>
            </w:pPr>
            <w:r w:rsidRPr="00EC6A55">
              <w:rPr>
                <w:sz w:val="24"/>
                <w:szCs w:val="24"/>
              </w:rPr>
              <w:t xml:space="preserve">For the coming year, the ICS has identified several key priority areas.  Energy decarbonisation remains central, with a focus on expanding heat decarbonisation plans and leveraging available infrastructure funding.  </w:t>
            </w:r>
          </w:p>
          <w:p w14:paraId="539FB3CD" w14:textId="77777777" w:rsidR="00EC6A55" w:rsidRPr="00EC6A55" w:rsidRDefault="00EC6A55" w:rsidP="00EC6A55">
            <w:pPr>
              <w:rPr>
                <w:sz w:val="24"/>
                <w:szCs w:val="24"/>
              </w:rPr>
            </w:pPr>
          </w:p>
          <w:p w14:paraId="3EE29AB3" w14:textId="4A10811C" w:rsidR="00EC6A55" w:rsidRDefault="00EC6A55" w:rsidP="00EC6A55">
            <w:pPr>
              <w:rPr>
                <w:sz w:val="24"/>
                <w:szCs w:val="24"/>
              </w:rPr>
            </w:pPr>
            <w:r w:rsidRPr="00EC6A55">
              <w:rPr>
                <w:sz w:val="24"/>
                <w:szCs w:val="24"/>
              </w:rPr>
              <w:t xml:space="preserve">Heat decarbonisation plans (HDP) are in place for NUH and NHT.  The challenge is now to find and secure funding to deliver recommendations made within them.  A HDP is </w:t>
            </w:r>
            <w:r w:rsidR="00327C7A" w:rsidRPr="00EC6A55">
              <w:rPr>
                <w:sz w:val="24"/>
                <w:szCs w:val="24"/>
              </w:rPr>
              <w:t>being</w:t>
            </w:r>
            <w:r w:rsidRPr="00EC6A55">
              <w:rPr>
                <w:sz w:val="24"/>
                <w:szCs w:val="24"/>
              </w:rPr>
              <w:t xml:space="preserve"> drafted for SFH funded by DHSC through the Midlands Net Zero Hub as bids to secure Low Carbon Skills Funding have been unsuccessful.  </w:t>
            </w:r>
          </w:p>
          <w:p w14:paraId="0FD85014" w14:textId="77777777" w:rsidR="00EC6A55" w:rsidRPr="00EC6A55" w:rsidRDefault="00EC6A55" w:rsidP="00EC6A55">
            <w:pPr>
              <w:rPr>
                <w:sz w:val="24"/>
                <w:szCs w:val="24"/>
              </w:rPr>
            </w:pPr>
          </w:p>
          <w:p w14:paraId="16559C8C" w14:textId="77777777" w:rsidR="00EC6A55" w:rsidRDefault="00EC6A55" w:rsidP="00EC6A55">
            <w:pPr>
              <w:rPr>
                <w:sz w:val="24"/>
                <w:szCs w:val="24"/>
              </w:rPr>
            </w:pPr>
            <w:r w:rsidRPr="00EC6A55">
              <w:rPr>
                <w:sz w:val="24"/>
                <w:szCs w:val="24"/>
              </w:rPr>
              <w:t xml:space="preserve">We have been fortunate to secure funding for HEE Clinical Fellows, one of which has led work to understand and plan replacement of Nitrous Oxide manifolds, a major source of leakage of this potent greenhouse gas.  This work enabled our ICS to secure capital funding from NHSE to replace these, saving money, preventing damage to staff health, and moving us towards our net zero targets.  </w:t>
            </w:r>
          </w:p>
          <w:p w14:paraId="1BFB58FC" w14:textId="77777777" w:rsidR="00EC6A55" w:rsidRPr="00EC6A55" w:rsidRDefault="00EC6A55" w:rsidP="00EC6A55">
            <w:pPr>
              <w:rPr>
                <w:sz w:val="24"/>
                <w:szCs w:val="24"/>
              </w:rPr>
            </w:pPr>
          </w:p>
          <w:p w14:paraId="2EFF616E" w14:textId="659C39F1" w:rsidR="00975F7E" w:rsidRPr="000458A0" w:rsidRDefault="00AD0B72" w:rsidP="00C44A42">
            <w:pPr>
              <w:rPr>
                <w:color w:val="FF0000"/>
                <w:sz w:val="24"/>
                <w:szCs w:val="24"/>
              </w:rPr>
            </w:pPr>
            <w:r w:rsidRPr="00C44A42">
              <w:rPr>
                <w:sz w:val="24"/>
                <w:szCs w:val="24"/>
              </w:rPr>
              <w:t xml:space="preserve">NUH has previously received </w:t>
            </w:r>
            <w:r w:rsidR="00D70CE9" w:rsidRPr="00D70CE9">
              <w:rPr>
                <w:sz w:val="24"/>
                <w:szCs w:val="24"/>
              </w:rPr>
              <w:t>Public Sector Decarbonisation Scheme</w:t>
            </w:r>
            <w:r w:rsidR="00D70CE9">
              <w:rPr>
                <w:sz w:val="24"/>
                <w:szCs w:val="24"/>
              </w:rPr>
              <w:t xml:space="preserve"> (</w:t>
            </w:r>
            <w:r w:rsidRPr="00C44A42">
              <w:rPr>
                <w:sz w:val="24"/>
                <w:szCs w:val="24"/>
              </w:rPr>
              <w:t>PSDS</w:t>
            </w:r>
            <w:r w:rsidR="00D70CE9">
              <w:rPr>
                <w:sz w:val="24"/>
                <w:szCs w:val="24"/>
              </w:rPr>
              <w:t>)</w:t>
            </w:r>
            <w:r w:rsidRPr="00C44A42">
              <w:rPr>
                <w:sz w:val="24"/>
                <w:szCs w:val="24"/>
              </w:rPr>
              <w:t xml:space="preserve"> grants towards completion of the replacement of windows at QMC, and removing steam as the main transfer of heat around the buildings. The new solution when complete will use a low temperature hot water system from both Combined Heat &amp; Power (CHP) and ground source heat pumps. The new energy centre at QMC that is required to operate this will now complete during 2025/26, utilising the residual grant funding and the contribution required from the NUH.</w:t>
            </w:r>
          </w:p>
        </w:tc>
      </w:tr>
      <w:bookmarkEnd w:id="3"/>
    </w:tbl>
    <w:p w14:paraId="0999110A" w14:textId="77777777" w:rsidR="000D2C9E" w:rsidRPr="000458A0" w:rsidRDefault="000D2C9E">
      <w:pPr>
        <w:rPr>
          <w:b/>
          <w:bCs/>
          <w:color w:val="FF0000"/>
          <w:sz w:val="24"/>
          <w:szCs w:val="24"/>
        </w:rPr>
      </w:pP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016"/>
      </w:tblGrid>
      <w:tr w:rsidR="000458A0" w:rsidRPr="000458A0" w14:paraId="7EFF4897" w14:textId="77777777" w:rsidTr="00EC6A55">
        <w:trPr>
          <w:trHeight w:val="605"/>
        </w:trPr>
        <w:tc>
          <w:tcPr>
            <w:tcW w:w="9016" w:type="dxa"/>
            <w:shd w:val="clear" w:color="auto" w:fill="2F5496" w:themeFill="accent1" w:themeFillShade="BF"/>
            <w:vAlign w:val="center"/>
          </w:tcPr>
          <w:p w14:paraId="55BE4238" w14:textId="5964528D" w:rsidR="00474226" w:rsidRPr="00654544" w:rsidRDefault="00474226" w:rsidP="002C0B65">
            <w:pPr>
              <w:rPr>
                <w:b/>
                <w:bCs/>
                <w:color w:val="44546A" w:themeColor="text2"/>
                <w:sz w:val="24"/>
                <w:szCs w:val="24"/>
              </w:rPr>
            </w:pPr>
            <w:bookmarkStart w:id="4" w:name="_Hlk193123628"/>
            <w:r w:rsidRPr="00EC6A55">
              <w:rPr>
                <w:b/>
                <w:bCs/>
                <w:color w:val="FFFFFF" w:themeColor="background1"/>
                <w:sz w:val="24"/>
                <w:szCs w:val="24"/>
              </w:rPr>
              <w:t>Primary Care Capital</w:t>
            </w:r>
          </w:p>
        </w:tc>
      </w:tr>
      <w:tr w:rsidR="000458A0" w:rsidRPr="000458A0" w14:paraId="0A1688CC" w14:textId="77777777" w:rsidTr="002C0B65">
        <w:trPr>
          <w:trHeight w:val="2908"/>
        </w:trPr>
        <w:tc>
          <w:tcPr>
            <w:tcW w:w="9016" w:type="dxa"/>
            <w:shd w:val="clear" w:color="auto" w:fill="FFFFFF" w:themeFill="background1"/>
          </w:tcPr>
          <w:p w14:paraId="0658A0D7" w14:textId="16D8D633" w:rsidR="00654544" w:rsidRPr="00C44A42" w:rsidRDefault="00654544" w:rsidP="00C44A42">
            <w:pPr>
              <w:rPr>
                <w:sz w:val="24"/>
                <w:szCs w:val="24"/>
              </w:rPr>
            </w:pPr>
            <w:r w:rsidRPr="00C44A42">
              <w:rPr>
                <w:sz w:val="24"/>
                <w:szCs w:val="24"/>
              </w:rPr>
              <w:t xml:space="preserve">The ICB receives a ring-fenced capital allocation of c. £2.5m each year to invest in I.T. replacement and small premises improvements in primary care (general practice) and also a new Utilisation and Modernisation fund </w:t>
            </w:r>
            <w:r w:rsidR="00BF333C">
              <w:rPr>
                <w:sz w:val="24"/>
                <w:szCs w:val="24"/>
              </w:rPr>
              <w:t xml:space="preserve">(UMF) </w:t>
            </w:r>
            <w:r w:rsidRPr="00C44A42">
              <w:rPr>
                <w:sz w:val="24"/>
                <w:szCs w:val="24"/>
              </w:rPr>
              <w:t>of up to £2.1m in 25/26 again for small premises improvements in general practice</w:t>
            </w:r>
            <w:r w:rsidR="00765F06">
              <w:rPr>
                <w:sz w:val="24"/>
                <w:szCs w:val="24"/>
              </w:rPr>
              <w:t xml:space="preserve">. </w:t>
            </w:r>
            <w:r w:rsidR="00765F06" w:rsidRPr="00765F06">
              <w:rPr>
                <w:sz w:val="24"/>
                <w:szCs w:val="24"/>
              </w:rPr>
              <w:t>The ICB summited schemes to NHSE for the U</w:t>
            </w:r>
            <w:r w:rsidR="00765F06">
              <w:rPr>
                <w:sz w:val="24"/>
                <w:szCs w:val="24"/>
              </w:rPr>
              <w:t>M</w:t>
            </w:r>
            <w:r w:rsidR="00765F06" w:rsidRPr="00765F06">
              <w:rPr>
                <w:sz w:val="24"/>
                <w:szCs w:val="24"/>
              </w:rPr>
              <w:t>F fund which have been supported in principle with final approval expected to be in June 2025.</w:t>
            </w:r>
            <w:r w:rsidR="00765F06">
              <w:rPr>
                <w:sz w:val="24"/>
                <w:szCs w:val="24"/>
              </w:rPr>
              <w:t xml:space="preserve"> </w:t>
            </w:r>
            <w:r w:rsidRPr="00C44A42">
              <w:rPr>
                <w:sz w:val="24"/>
                <w:szCs w:val="24"/>
              </w:rPr>
              <w:t xml:space="preserve">Based on estates strategies from legacy organisations and the recent Primary Care Network Estates Toolkit, the ICB has several agreed </w:t>
            </w:r>
            <w:r w:rsidR="00BF333C">
              <w:rPr>
                <w:sz w:val="24"/>
                <w:szCs w:val="24"/>
              </w:rPr>
              <w:t xml:space="preserve">major </w:t>
            </w:r>
            <w:r w:rsidRPr="00C44A42">
              <w:rPr>
                <w:sz w:val="24"/>
                <w:szCs w:val="24"/>
              </w:rPr>
              <w:t>primary care priorities. However, the cost of implementation is unaffordable within the size of the capital envelope provided.  There are currently no sources of national funding prioritised for primary care, however business cases are being developed in anticipation of future funding.</w:t>
            </w:r>
          </w:p>
          <w:p w14:paraId="111F054A" w14:textId="77777777" w:rsidR="00654544" w:rsidRPr="00C44A42" w:rsidRDefault="00654544" w:rsidP="00C44A42">
            <w:pPr>
              <w:rPr>
                <w:sz w:val="24"/>
                <w:szCs w:val="24"/>
              </w:rPr>
            </w:pPr>
          </w:p>
          <w:p w14:paraId="6E1AAFA9" w14:textId="77777777" w:rsidR="00654544" w:rsidRPr="00C44A42" w:rsidRDefault="00654544" w:rsidP="00C44A42">
            <w:pPr>
              <w:rPr>
                <w:sz w:val="24"/>
                <w:szCs w:val="24"/>
              </w:rPr>
            </w:pPr>
            <w:r w:rsidRPr="00C44A42">
              <w:rPr>
                <w:sz w:val="24"/>
                <w:szCs w:val="24"/>
              </w:rPr>
              <w:t>Priority areas include:</w:t>
            </w:r>
          </w:p>
          <w:p w14:paraId="5F998C8D" w14:textId="77777777" w:rsidR="00654544" w:rsidRPr="00C44A42" w:rsidRDefault="00654544" w:rsidP="00C44A42">
            <w:pPr>
              <w:ind w:left="720"/>
              <w:rPr>
                <w:sz w:val="24"/>
                <w:szCs w:val="24"/>
              </w:rPr>
            </w:pPr>
            <w:r w:rsidRPr="00C44A42">
              <w:rPr>
                <w:sz w:val="24"/>
                <w:szCs w:val="24"/>
              </w:rPr>
              <w:t>•</w:t>
            </w:r>
            <w:r w:rsidRPr="00C44A42">
              <w:rPr>
                <w:sz w:val="24"/>
                <w:szCs w:val="24"/>
              </w:rPr>
              <w:tab/>
              <w:t>Hucknall (Cavell) – 3 practice new build health and wellbeing hub</w:t>
            </w:r>
          </w:p>
          <w:p w14:paraId="20B1EB38" w14:textId="77777777" w:rsidR="00654544" w:rsidRPr="00C44A42" w:rsidRDefault="00654544" w:rsidP="00C44A42">
            <w:pPr>
              <w:ind w:left="720"/>
              <w:rPr>
                <w:sz w:val="24"/>
                <w:szCs w:val="24"/>
              </w:rPr>
            </w:pPr>
            <w:r w:rsidRPr="00C44A42">
              <w:rPr>
                <w:sz w:val="24"/>
                <w:szCs w:val="24"/>
              </w:rPr>
              <w:t>•</w:t>
            </w:r>
            <w:r w:rsidRPr="00C44A42">
              <w:rPr>
                <w:sz w:val="24"/>
                <w:szCs w:val="24"/>
              </w:rPr>
              <w:tab/>
              <w:t>Eastwood and Giltbrook – 2 practice new build</w:t>
            </w:r>
          </w:p>
          <w:p w14:paraId="64998FB2" w14:textId="77777777" w:rsidR="00654544" w:rsidRPr="00C44A42" w:rsidRDefault="00654544" w:rsidP="00C44A42">
            <w:pPr>
              <w:ind w:left="720"/>
              <w:rPr>
                <w:sz w:val="24"/>
                <w:szCs w:val="24"/>
              </w:rPr>
            </w:pPr>
            <w:r w:rsidRPr="00C44A42">
              <w:rPr>
                <w:sz w:val="24"/>
                <w:szCs w:val="24"/>
              </w:rPr>
              <w:lastRenderedPageBreak/>
              <w:t>•</w:t>
            </w:r>
            <w:r w:rsidRPr="00C44A42">
              <w:rPr>
                <w:sz w:val="24"/>
                <w:szCs w:val="24"/>
              </w:rPr>
              <w:tab/>
              <w:t>East Leake – large single practice new build</w:t>
            </w:r>
          </w:p>
          <w:p w14:paraId="722A7D06" w14:textId="77777777" w:rsidR="00654544" w:rsidRPr="00C44A42" w:rsidRDefault="00654544" w:rsidP="00C44A42">
            <w:pPr>
              <w:ind w:left="720"/>
              <w:rPr>
                <w:sz w:val="24"/>
                <w:szCs w:val="24"/>
              </w:rPr>
            </w:pPr>
            <w:r w:rsidRPr="00C44A42">
              <w:rPr>
                <w:sz w:val="24"/>
                <w:szCs w:val="24"/>
              </w:rPr>
              <w:t>•</w:t>
            </w:r>
            <w:r w:rsidRPr="00C44A42">
              <w:rPr>
                <w:sz w:val="24"/>
                <w:szCs w:val="24"/>
              </w:rPr>
              <w:tab/>
              <w:t>Newark – single practice new build</w:t>
            </w:r>
          </w:p>
          <w:p w14:paraId="630B3574" w14:textId="77777777" w:rsidR="00654544" w:rsidRDefault="00654544" w:rsidP="00C44A42">
            <w:pPr>
              <w:ind w:left="720"/>
              <w:rPr>
                <w:sz w:val="24"/>
                <w:szCs w:val="24"/>
              </w:rPr>
            </w:pPr>
            <w:r w:rsidRPr="00C44A42">
              <w:rPr>
                <w:sz w:val="24"/>
                <w:szCs w:val="24"/>
              </w:rPr>
              <w:t>•</w:t>
            </w:r>
            <w:r w:rsidRPr="00C44A42">
              <w:rPr>
                <w:sz w:val="24"/>
                <w:szCs w:val="24"/>
              </w:rPr>
              <w:tab/>
              <w:t>Beeston – single practice new build, site identified</w:t>
            </w:r>
          </w:p>
          <w:p w14:paraId="4042D665" w14:textId="77777777" w:rsidR="00EA4FD0" w:rsidRPr="00C44A42" w:rsidRDefault="00EA4FD0" w:rsidP="00C44A42">
            <w:pPr>
              <w:ind w:left="720"/>
              <w:rPr>
                <w:sz w:val="24"/>
                <w:szCs w:val="24"/>
              </w:rPr>
            </w:pPr>
          </w:p>
          <w:p w14:paraId="400EA118" w14:textId="77777777" w:rsidR="00654544" w:rsidRDefault="00654544" w:rsidP="00C44A42">
            <w:pPr>
              <w:rPr>
                <w:sz w:val="24"/>
                <w:szCs w:val="24"/>
              </w:rPr>
            </w:pPr>
            <w:r w:rsidRPr="00C44A42">
              <w:rPr>
                <w:sz w:val="24"/>
                <w:szCs w:val="24"/>
              </w:rPr>
              <w:t>In addition to these there are several major housing developments planned across Nottingham &amp; Nottinghamshire that will require increased primary care provision:</w:t>
            </w:r>
          </w:p>
          <w:p w14:paraId="3B515B37" w14:textId="77777777" w:rsidR="001247C3" w:rsidRPr="00C44A42" w:rsidRDefault="001247C3" w:rsidP="00C44A42">
            <w:pPr>
              <w:rPr>
                <w:sz w:val="24"/>
                <w:szCs w:val="24"/>
              </w:rPr>
            </w:pPr>
          </w:p>
          <w:p w14:paraId="0C46FC86" w14:textId="179E1110" w:rsidR="00654544" w:rsidRPr="00C44A42" w:rsidRDefault="00654544" w:rsidP="00C44A42">
            <w:pPr>
              <w:pStyle w:val="ListParagraph"/>
              <w:numPr>
                <w:ilvl w:val="0"/>
                <w:numId w:val="28"/>
              </w:numPr>
              <w:rPr>
                <w:sz w:val="24"/>
                <w:szCs w:val="24"/>
              </w:rPr>
            </w:pPr>
            <w:r w:rsidRPr="00C44A42">
              <w:rPr>
                <w:sz w:val="24"/>
                <w:szCs w:val="24"/>
              </w:rPr>
              <w:t xml:space="preserve">Fairham Pastures – land south of Clifton 3000 dwellings, reserve site requested for primary medical </w:t>
            </w:r>
            <w:r w:rsidR="00725CB6" w:rsidRPr="00C44A42">
              <w:rPr>
                <w:sz w:val="24"/>
                <w:szCs w:val="24"/>
              </w:rPr>
              <w:t>facility.</w:t>
            </w:r>
          </w:p>
          <w:p w14:paraId="1A525C40" w14:textId="26013E93" w:rsidR="00654544" w:rsidRPr="00C44A42" w:rsidRDefault="00654544" w:rsidP="00C44A42">
            <w:pPr>
              <w:pStyle w:val="ListParagraph"/>
              <w:numPr>
                <w:ilvl w:val="0"/>
                <w:numId w:val="28"/>
              </w:numPr>
              <w:rPr>
                <w:sz w:val="24"/>
                <w:szCs w:val="24"/>
              </w:rPr>
            </w:pPr>
            <w:r w:rsidRPr="00C44A42">
              <w:rPr>
                <w:sz w:val="24"/>
                <w:szCs w:val="24"/>
              </w:rPr>
              <w:t xml:space="preserve">Chetwynd Barracks, Chilwell (and Toton sidings) - up to 4,500 dwellings, reserved site requested for primary medical </w:t>
            </w:r>
            <w:r w:rsidR="00725CB6" w:rsidRPr="00C44A42">
              <w:rPr>
                <w:sz w:val="24"/>
                <w:szCs w:val="24"/>
              </w:rPr>
              <w:t>facility.</w:t>
            </w:r>
          </w:p>
          <w:p w14:paraId="64A9C63C" w14:textId="03599F2F" w:rsidR="00654544" w:rsidRDefault="00654544" w:rsidP="00C44A42">
            <w:pPr>
              <w:pStyle w:val="ListParagraph"/>
              <w:numPr>
                <w:ilvl w:val="0"/>
                <w:numId w:val="28"/>
              </w:numPr>
              <w:rPr>
                <w:sz w:val="24"/>
                <w:szCs w:val="24"/>
              </w:rPr>
            </w:pPr>
            <w:r w:rsidRPr="00C44A42">
              <w:rPr>
                <w:sz w:val="24"/>
                <w:szCs w:val="24"/>
              </w:rPr>
              <w:t>Tollerton/Bassingfield – 4,000 dwellings reserved site being requested for primary medical facility</w:t>
            </w:r>
            <w:r w:rsidR="00725CB6">
              <w:rPr>
                <w:sz w:val="24"/>
                <w:szCs w:val="24"/>
              </w:rPr>
              <w:t>.</w:t>
            </w:r>
          </w:p>
          <w:p w14:paraId="1B0FDACF" w14:textId="77777777" w:rsidR="001247C3" w:rsidRPr="00C44A42" w:rsidRDefault="001247C3" w:rsidP="00C44A42">
            <w:pPr>
              <w:pStyle w:val="ListParagraph"/>
              <w:numPr>
                <w:ilvl w:val="0"/>
                <w:numId w:val="28"/>
              </w:numPr>
              <w:rPr>
                <w:sz w:val="24"/>
                <w:szCs w:val="24"/>
              </w:rPr>
            </w:pPr>
          </w:p>
          <w:p w14:paraId="6026D478" w14:textId="77777777" w:rsidR="00654544" w:rsidRPr="00C44A42" w:rsidRDefault="00654544" w:rsidP="00C44A42">
            <w:pPr>
              <w:rPr>
                <w:sz w:val="24"/>
                <w:szCs w:val="24"/>
              </w:rPr>
            </w:pPr>
            <w:r w:rsidRPr="00C44A42">
              <w:rPr>
                <w:sz w:val="24"/>
                <w:szCs w:val="24"/>
              </w:rPr>
              <w:t>Emerging priorities for new build/major expansion have also been identified in the following areas which are now being developed further:</w:t>
            </w:r>
          </w:p>
          <w:p w14:paraId="4CB1F648" w14:textId="3C9AF073" w:rsidR="00654544" w:rsidRPr="00C44A42" w:rsidRDefault="00654544" w:rsidP="00C44A42">
            <w:pPr>
              <w:pStyle w:val="ListParagraph"/>
              <w:numPr>
                <w:ilvl w:val="0"/>
                <w:numId w:val="30"/>
              </w:numPr>
              <w:rPr>
                <w:sz w:val="24"/>
                <w:szCs w:val="24"/>
              </w:rPr>
            </w:pPr>
            <w:r w:rsidRPr="00C44A42">
              <w:rPr>
                <w:sz w:val="24"/>
                <w:szCs w:val="24"/>
              </w:rPr>
              <w:t>Radcliffe on Trent</w:t>
            </w:r>
          </w:p>
          <w:p w14:paraId="6241F734" w14:textId="767AAF2E" w:rsidR="00654544" w:rsidRPr="00C44A42" w:rsidRDefault="00654544" w:rsidP="00C44A42">
            <w:pPr>
              <w:pStyle w:val="ListParagraph"/>
              <w:numPr>
                <w:ilvl w:val="0"/>
                <w:numId w:val="30"/>
              </w:numPr>
              <w:rPr>
                <w:sz w:val="24"/>
                <w:szCs w:val="24"/>
              </w:rPr>
            </w:pPr>
            <w:r w:rsidRPr="00C44A42">
              <w:rPr>
                <w:sz w:val="24"/>
                <w:szCs w:val="24"/>
              </w:rPr>
              <w:t>Strelley/Aspley area</w:t>
            </w:r>
          </w:p>
          <w:p w14:paraId="17B577EF" w14:textId="295629BB" w:rsidR="00654544" w:rsidRPr="00C44A42" w:rsidRDefault="00654544" w:rsidP="00C44A42">
            <w:pPr>
              <w:pStyle w:val="ListParagraph"/>
              <w:numPr>
                <w:ilvl w:val="0"/>
                <w:numId w:val="30"/>
              </w:numPr>
              <w:rPr>
                <w:sz w:val="24"/>
                <w:szCs w:val="24"/>
              </w:rPr>
            </w:pPr>
            <w:r w:rsidRPr="00C44A42">
              <w:rPr>
                <w:sz w:val="24"/>
                <w:szCs w:val="24"/>
              </w:rPr>
              <w:t>Burton Joyce</w:t>
            </w:r>
          </w:p>
          <w:p w14:paraId="24FFF2E9" w14:textId="49A1B51D" w:rsidR="00F82197" w:rsidRPr="00C44A42" w:rsidRDefault="00654544" w:rsidP="00C44A42">
            <w:pPr>
              <w:pStyle w:val="ListParagraph"/>
              <w:numPr>
                <w:ilvl w:val="0"/>
                <w:numId w:val="30"/>
              </w:numPr>
              <w:rPr>
                <w:sz w:val="24"/>
                <w:szCs w:val="24"/>
              </w:rPr>
            </w:pPr>
            <w:r w:rsidRPr="00C44A42">
              <w:rPr>
                <w:sz w:val="24"/>
                <w:szCs w:val="24"/>
              </w:rPr>
              <w:t>Edwinstowe/Ollerton</w:t>
            </w:r>
          </w:p>
        </w:tc>
      </w:tr>
      <w:bookmarkEnd w:id="4"/>
    </w:tbl>
    <w:p w14:paraId="5C38C1C4" w14:textId="77777777" w:rsidR="005B0ECB" w:rsidRPr="000458A0" w:rsidRDefault="005B0ECB">
      <w:pPr>
        <w:rPr>
          <w:b/>
          <w:bCs/>
          <w:color w:val="FF0000"/>
          <w:sz w:val="24"/>
          <w:szCs w:val="24"/>
        </w:rPr>
        <w:sectPr w:rsidR="005B0ECB" w:rsidRPr="000458A0" w:rsidSect="00960987">
          <w:headerReference w:type="default" r:id="rId10"/>
          <w:pgSz w:w="11906" w:h="16838"/>
          <w:pgMar w:top="709" w:right="1440" w:bottom="1135" w:left="1440" w:header="708" w:footer="708" w:gutter="0"/>
          <w:cols w:space="708"/>
          <w:docGrid w:linePitch="360"/>
        </w:sectPr>
      </w:pPr>
    </w:p>
    <w:p w14:paraId="5F39E2D0" w14:textId="77777777" w:rsidR="0069400E" w:rsidRDefault="005D4AC4" w:rsidP="0069400E">
      <w:pPr>
        <w:spacing w:after="0" w:line="240" w:lineRule="auto"/>
        <w:jc w:val="center"/>
        <w:rPr>
          <w:b/>
          <w:bCs/>
          <w:sz w:val="24"/>
          <w:szCs w:val="24"/>
        </w:rPr>
      </w:pPr>
      <w:r w:rsidRPr="00AF234B">
        <w:rPr>
          <w:b/>
          <w:bCs/>
          <w:sz w:val="24"/>
          <w:szCs w:val="24"/>
        </w:rPr>
        <w:lastRenderedPageBreak/>
        <w:t xml:space="preserve">Annex A – </w:t>
      </w:r>
      <w:r w:rsidR="008878F7" w:rsidRPr="00AF234B">
        <w:rPr>
          <w:b/>
          <w:bCs/>
          <w:sz w:val="24"/>
          <w:szCs w:val="24"/>
        </w:rPr>
        <w:t xml:space="preserve">Nottingham &amp; Nottinghamshire </w:t>
      </w:r>
      <w:r w:rsidRPr="00AF234B">
        <w:rPr>
          <w:b/>
          <w:bCs/>
          <w:sz w:val="24"/>
          <w:szCs w:val="24"/>
        </w:rPr>
        <w:t>IC</w:t>
      </w:r>
      <w:r w:rsidR="009450A6" w:rsidRPr="00AF234B">
        <w:rPr>
          <w:b/>
          <w:bCs/>
          <w:sz w:val="24"/>
          <w:szCs w:val="24"/>
        </w:rPr>
        <w:t>S</w:t>
      </w:r>
      <w:r w:rsidR="008878F7" w:rsidRPr="00AF234B">
        <w:rPr>
          <w:b/>
          <w:bCs/>
          <w:sz w:val="24"/>
          <w:szCs w:val="24"/>
        </w:rPr>
        <w:t xml:space="preserve"> </w:t>
      </w:r>
      <w:r w:rsidR="00474226" w:rsidRPr="00AF234B">
        <w:rPr>
          <w:b/>
          <w:bCs/>
          <w:sz w:val="24"/>
          <w:szCs w:val="24"/>
        </w:rPr>
        <w:t>202</w:t>
      </w:r>
      <w:r w:rsidR="00EC6A55">
        <w:rPr>
          <w:b/>
          <w:bCs/>
          <w:sz w:val="24"/>
          <w:szCs w:val="24"/>
        </w:rPr>
        <w:t>5</w:t>
      </w:r>
      <w:r w:rsidR="00474226" w:rsidRPr="00AF234B">
        <w:rPr>
          <w:b/>
          <w:bCs/>
          <w:sz w:val="24"/>
          <w:szCs w:val="24"/>
        </w:rPr>
        <w:t>/2</w:t>
      </w:r>
      <w:r w:rsidR="00EC6A55">
        <w:rPr>
          <w:b/>
          <w:bCs/>
          <w:sz w:val="24"/>
          <w:szCs w:val="24"/>
        </w:rPr>
        <w:t>6</w:t>
      </w:r>
      <w:r w:rsidRPr="00AF234B">
        <w:rPr>
          <w:b/>
          <w:bCs/>
          <w:sz w:val="24"/>
          <w:szCs w:val="24"/>
        </w:rPr>
        <w:t xml:space="preserve"> CAPITAL</w:t>
      </w:r>
      <w:r w:rsidR="0069400E">
        <w:rPr>
          <w:b/>
          <w:bCs/>
          <w:sz w:val="24"/>
          <w:szCs w:val="24"/>
        </w:rPr>
        <w:t>PLAN</w:t>
      </w:r>
    </w:p>
    <w:p w14:paraId="6E6D42ED" w14:textId="77777777" w:rsidR="0069400E" w:rsidRDefault="0069400E" w:rsidP="0069400E">
      <w:pPr>
        <w:spacing w:after="0" w:line="240" w:lineRule="auto"/>
        <w:jc w:val="center"/>
        <w:rPr>
          <w:b/>
          <w:bCs/>
          <w:sz w:val="24"/>
          <w:szCs w:val="24"/>
        </w:rPr>
      </w:pPr>
    </w:p>
    <w:tbl>
      <w:tblPr>
        <w:tblW w:w="16160" w:type="dxa"/>
        <w:tblInd w:w="-152" w:type="dxa"/>
        <w:tblLook w:val="04A0" w:firstRow="1" w:lastRow="0" w:firstColumn="1" w:lastColumn="0" w:noHBand="0" w:noVBand="1"/>
      </w:tblPr>
      <w:tblGrid>
        <w:gridCol w:w="2127"/>
        <w:gridCol w:w="3536"/>
        <w:gridCol w:w="817"/>
        <w:gridCol w:w="693"/>
        <w:gridCol w:w="809"/>
        <w:gridCol w:w="807"/>
        <w:gridCol w:w="943"/>
        <w:gridCol w:w="6428"/>
      </w:tblGrid>
      <w:tr w:rsidR="0069400E" w:rsidRPr="0069400E" w14:paraId="58B0DA45" w14:textId="77777777" w:rsidTr="00960987">
        <w:trPr>
          <w:trHeight w:val="287"/>
        </w:trPr>
        <w:tc>
          <w:tcPr>
            <w:tcW w:w="2127" w:type="dxa"/>
            <w:tcBorders>
              <w:top w:val="single" w:sz="8" w:space="0" w:color="auto"/>
              <w:left w:val="single" w:sz="8" w:space="0" w:color="auto"/>
              <w:bottom w:val="nil"/>
              <w:right w:val="single" w:sz="8" w:space="0" w:color="auto"/>
            </w:tcBorders>
            <w:shd w:val="clear" w:color="000000" w:fill="0070C0"/>
            <w:noWrap/>
            <w:vAlign w:val="bottom"/>
            <w:hideMark/>
          </w:tcPr>
          <w:p w14:paraId="6D8085A4" w14:textId="77777777" w:rsidR="0069400E" w:rsidRPr="0069400E" w:rsidRDefault="0069400E" w:rsidP="0069400E">
            <w:pPr>
              <w:spacing w:after="0" w:line="240" w:lineRule="auto"/>
              <w:jc w:val="center"/>
              <w:rPr>
                <w:rFonts w:ascii="Calibri" w:eastAsia="Times New Roman" w:hAnsi="Calibri" w:cs="Calibri"/>
                <w:b/>
                <w:bCs/>
                <w:color w:val="FFFFFF"/>
                <w:sz w:val="20"/>
                <w:szCs w:val="20"/>
                <w:lang w:eastAsia="en-GB"/>
              </w:rPr>
            </w:pPr>
            <w:r w:rsidRPr="0069400E">
              <w:rPr>
                <w:rFonts w:ascii="Calibri" w:eastAsia="Times New Roman" w:hAnsi="Calibri" w:cs="Calibri"/>
                <w:b/>
                <w:bCs/>
                <w:color w:val="FFFFFF"/>
                <w:sz w:val="20"/>
                <w:szCs w:val="20"/>
                <w:lang w:eastAsia="en-GB"/>
              </w:rPr>
              <w:t xml:space="preserve">Status </w:t>
            </w:r>
          </w:p>
        </w:tc>
        <w:tc>
          <w:tcPr>
            <w:tcW w:w="3536" w:type="dxa"/>
            <w:tcBorders>
              <w:top w:val="single" w:sz="8" w:space="0" w:color="auto"/>
              <w:left w:val="nil"/>
              <w:bottom w:val="nil"/>
              <w:right w:val="single" w:sz="8" w:space="0" w:color="auto"/>
            </w:tcBorders>
            <w:shd w:val="clear" w:color="000000" w:fill="0070C0"/>
            <w:noWrap/>
            <w:vAlign w:val="bottom"/>
            <w:hideMark/>
          </w:tcPr>
          <w:p w14:paraId="7693C9E1" w14:textId="77777777" w:rsidR="0069400E" w:rsidRPr="0069400E" w:rsidRDefault="0069400E" w:rsidP="0069400E">
            <w:pPr>
              <w:spacing w:after="0" w:line="240" w:lineRule="auto"/>
              <w:jc w:val="center"/>
              <w:rPr>
                <w:rFonts w:ascii="Calibri" w:eastAsia="Times New Roman" w:hAnsi="Calibri" w:cs="Calibri"/>
                <w:b/>
                <w:bCs/>
                <w:color w:val="FFFFFF"/>
                <w:sz w:val="20"/>
                <w:szCs w:val="20"/>
                <w:lang w:eastAsia="en-GB"/>
              </w:rPr>
            </w:pPr>
            <w:r w:rsidRPr="0069400E">
              <w:rPr>
                <w:rFonts w:ascii="Calibri" w:eastAsia="Times New Roman" w:hAnsi="Calibri" w:cs="Calibri"/>
                <w:b/>
                <w:bCs/>
                <w:color w:val="FFFFFF"/>
                <w:sz w:val="20"/>
                <w:szCs w:val="20"/>
                <w:lang w:eastAsia="en-GB"/>
              </w:rPr>
              <w:t xml:space="preserve">2025/26 Capital Plan </w:t>
            </w:r>
          </w:p>
        </w:tc>
        <w:tc>
          <w:tcPr>
            <w:tcW w:w="817" w:type="dxa"/>
            <w:tcBorders>
              <w:top w:val="single" w:sz="8" w:space="0" w:color="auto"/>
              <w:left w:val="nil"/>
              <w:bottom w:val="nil"/>
              <w:right w:val="single" w:sz="8" w:space="0" w:color="auto"/>
            </w:tcBorders>
            <w:shd w:val="clear" w:color="000000" w:fill="0070C0"/>
            <w:vAlign w:val="center"/>
            <w:hideMark/>
          </w:tcPr>
          <w:p w14:paraId="1EB4ACC2" w14:textId="77777777" w:rsidR="0069400E" w:rsidRPr="0069400E" w:rsidRDefault="0069400E" w:rsidP="0069400E">
            <w:pPr>
              <w:spacing w:after="0" w:line="240" w:lineRule="auto"/>
              <w:jc w:val="center"/>
              <w:rPr>
                <w:rFonts w:ascii="Calibri" w:eastAsia="Times New Roman" w:hAnsi="Calibri" w:cs="Calibri"/>
                <w:b/>
                <w:bCs/>
                <w:color w:val="FFFFFF"/>
                <w:sz w:val="20"/>
                <w:szCs w:val="20"/>
                <w:lang w:eastAsia="en-GB"/>
              </w:rPr>
            </w:pPr>
            <w:r w:rsidRPr="0069400E">
              <w:rPr>
                <w:rFonts w:ascii="Calibri" w:eastAsia="Times New Roman" w:hAnsi="Calibri" w:cs="Calibri"/>
                <w:b/>
                <w:bCs/>
                <w:color w:val="FFFFFF"/>
                <w:sz w:val="20"/>
                <w:szCs w:val="20"/>
                <w:lang w:eastAsia="en-GB"/>
              </w:rPr>
              <w:t>ICB</w:t>
            </w:r>
          </w:p>
        </w:tc>
        <w:tc>
          <w:tcPr>
            <w:tcW w:w="693" w:type="dxa"/>
            <w:tcBorders>
              <w:top w:val="single" w:sz="8" w:space="0" w:color="auto"/>
              <w:left w:val="nil"/>
              <w:bottom w:val="nil"/>
              <w:right w:val="single" w:sz="8" w:space="0" w:color="auto"/>
            </w:tcBorders>
            <w:shd w:val="clear" w:color="000000" w:fill="0070C0"/>
            <w:vAlign w:val="center"/>
            <w:hideMark/>
          </w:tcPr>
          <w:p w14:paraId="1454573C" w14:textId="77777777" w:rsidR="0069400E" w:rsidRPr="0069400E" w:rsidRDefault="0069400E" w:rsidP="0069400E">
            <w:pPr>
              <w:spacing w:after="0" w:line="240" w:lineRule="auto"/>
              <w:jc w:val="center"/>
              <w:rPr>
                <w:rFonts w:ascii="Calibri" w:eastAsia="Times New Roman" w:hAnsi="Calibri" w:cs="Calibri"/>
                <w:b/>
                <w:bCs/>
                <w:color w:val="FFFFFF"/>
                <w:sz w:val="20"/>
                <w:szCs w:val="20"/>
                <w:lang w:eastAsia="en-GB"/>
              </w:rPr>
            </w:pPr>
            <w:r w:rsidRPr="0069400E">
              <w:rPr>
                <w:rFonts w:ascii="Calibri" w:eastAsia="Times New Roman" w:hAnsi="Calibri" w:cs="Calibri"/>
                <w:b/>
                <w:bCs/>
                <w:color w:val="FFFFFF"/>
                <w:sz w:val="20"/>
                <w:szCs w:val="20"/>
                <w:lang w:eastAsia="en-GB"/>
              </w:rPr>
              <w:t>NUH</w:t>
            </w:r>
          </w:p>
        </w:tc>
        <w:tc>
          <w:tcPr>
            <w:tcW w:w="809" w:type="dxa"/>
            <w:tcBorders>
              <w:top w:val="single" w:sz="8" w:space="0" w:color="auto"/>
              <w:left w:val="nil"/>
              <w:bottom w:val="nil"/>
              <w:right w:val="single" w:sz="8" w:space="0" w:color="auto"/>
            </w:tcBorders>
            <w:shd w:val="clear" w:color="000000" w:fill="0070C0"/>
            <w:vAlign w:val="center"/>
            <w:hideMark/>
          </w:tcPr>
          <w:p w14:paraId="02A35A97" w14:textId="77777777" w:rsidR="0069400E" w:rsidRPr="0069400E" w:rsidRDefault="0069400E" w:rsidP="0069400E">
            <w:pPr>
              <w:spacing w:after="0" w:line="240" w:lineRule="auto"/>
              <w:jc w:val="center"/>
              <w:rPr>
                <w:rFonts w:ascii="Calibri" w:eastAsia="Times New Roman" w:hAnsi="Calibri" w:cs="Calibri"/>
                <w:b/>
                <w:bCs/>
                <w:color w:val="FFFFFF"/>
                <w:sz w:val="20"/>
                <w:szCs w:val="20"/>
                <w:lang w:eastAsia="en-GB"/>
              </w:rPr>
            </w:pPr>
            <w:r w:rsidRPr="0069400E">
              <w:rPr>
                <w:rFonts w:ascii="Calibri" w:eastAsia="Times New Roman" w:hAnsi="Calibri" w:cs="Calibri"/>
                <w:b/>
                <w:bCs/>
                <w:color w:val="FFFFFF"/>
                <w:sz w:val="20"/>
                <w:szCs w:val="20"/>
                <w:lang w:eastAsia="en-GB"/>
              </w:rPr>
              <w:t>SFH</w:t>
            </w:r>
          </w:p>
        </w:tc>
        <w:tc>
          <w:tcPr>
            <w:tcW w:w="807" w:type="dxa"/>
            <w:tcBorders>
              <w:top w:val="single" w:sz="8" w:space="0" w:color="auto"/>
              <w:left w:val="nil"/>
              <w:bottom w:val="nil"/>
              <w:right w:val="single" w:sz="8" w:space="0" w:color="auto"/>
            </w:tcBorders>
            <w:shd w:val="clear" w:color="000000" w:fill="0070C0"/>
            <w:vAlign w:val="center"/>
            <w:hideMark/>
          </w:tcPr>
          <w:p w14:paraId="4FD6F266" w14:textId="77777777" w:rsidR="0069400E" w:rsidRPr="0069400E" w:rsidRDefault="0069400E" w:rsidP="0069400E">
            <w:pPr>
              <w:spacing w:after="0" w:line="240" w:lineRule="auto"/>
              <w:jc w:val="center"/>
              <w:rPr>
                <w:rFonts w:ascii="Calibri" w:eastAsia="Times New Roman" w:hAnsi="Calibri" w:cs="Calibri"/>
                <w:b/>
                <w:bCs/>
                <w:color w:val="FFFFFF"/>
                <w:sz w:val="20"/>
                <w:szCs w:val="20"/>
                <w:lang w:eastAsia="en-GB"/>
              </w:rPr>
            </w:pPr>
            <w:r w:rsidRPr="0069400E">
              <w:rPr>
                <w:rFonts w:ascii="Calibri" w:eastAsia="Times New Roman" w:hAnsi="Calibri" w:cs="Calibri"/>
                <w:b/>
                <w:bCs/>
                <w:color w:val="FFFFFF"/>
                <w:sz w:val="20"/>
                <w:szCs w:val="20"/>
                <w:lang w:eastAsia="en-GB"/>
              </w:rPr>
              <w:t>NHT</w:t>
            </w:r>
          </w:p>
        </w:tc>
        <w:tc>
          <w:tcPr>
            <w:tcW w:w="943" w:type="dxa"/>
            <w:tcBorders>
              <w:top w:val="single" w:sz="8" w:space="0" w:color="auto"/>
              <w:left w:val="nil"/>
              <w:bottom w:val="nil"/>
              <w:right w:val="single" w:sz="8" w:space="0" w:color="auto"/>
            </w:tcBorders>
            <w:shd w:val="clear" w:color="000000" w:fill="0070C0"/>
            <w:vAlign w:val="center"/>
            <w:hideMark/>
          </w:tcPr>
          <w:p w14:paraId="041E1EF5" w14:textId="77777777" w:rsidR="0069400E" w:rsidRPr="0069400E" w:rsidRDefault="0069400E" w:rsidP="0069400E">
            <w:pPr>
              <w:spacing w:after="0" w:line="240" w:lineRule="auto"/>
              <w:jc w:val="center"/>
              <w:rPr>
                <w:rFonts w:ascii="Calibri" w:eastAsia="Times New Roman" w:hAnsi="Calibri" w:cs="Calibri"/>
                <w:b/>
                <w:bCs/>
                <w:color w:val="FFFFFF"/>
                <w:sz w:val="20"/>
                <w:szCs w:val="20"/>
                <w:lang w:eastAsia="en-GB"/>
              </w:rPr>
            </w:pPr>
            <w:r w:rsidRPr="0069400E">
              <w:rPr>
                <w:rFonts w:ascii="Calibri" w:eastAsia="Times New Roman" w:hAnsi="Calibri" w:cs="Calibri"/>
                <w:b/>
                <w:bCs/>
                <w:color w:val="FFFFFF"/>
                <w:sz w:val="20"/>
                <w:szCs w:val="20"/>
                <w:lang w:eastAsia="en-GB"/>
              </w:rPr>
              <w:t>Total</w:t>
            </w:r>
          </w:p>
        </w:tc>
        <w:tc>
          <w:tcPr>
            <w:tcW w:w="6428" w:type="dxa"/>
            <w:vMerge w:val="restart"/>
            <w:tcBorders>
              <w:top w:val="single" w:sz="8" w:space="0" w:color="auto"/>
              <w:left w:val="single" w:sz="8" w:space="0" w:color="auto"/>
              <w:bottom w:val="single" w:sz="8" w:space="0" w:color="000000"/>
              <w:right w:val="single" w:sz="8" w:space="0" w:color="auto"/>
            </w:tcBorders>
            <w:shd w:val="clear" w:color="000000" w:fill="0070C0"/>
            <w:vAlign w:val="center"/>
            <w:hideMark/>
          </w:tcPr>
          <w:p w14:paraId="129656B4" w14:textId="77777777" w:rsidR="0069400E" w:rsidRPr="0069400E" w:rsidRDefault="0069400E" w:rsidP="0069400E">
            <w:pPr>
              <w:spacing w:after="0" w:line="240" w:lineRule="auto"/>
              <w:jc w:val="center"/>
              <w:rPr>
                <w:rFonts w:ascii="Calibri" w:eastAsia="Times New Roman" w:hAnsi="Calibri" w:cs="Calibri"/>
                <w:b/>
                <w:bCs/>
                <w:color w:val="FFFFFF"/>
                <w:sz w:val="20"/>
                <w:szCs w:val="20"/>
                <w:lang w:eastAsia="en-GB"/>
              </w:rPr>
            </w:pPr>
            <w:r w:rsidRPr="0069400E">
              <w:rPr>
                <w:rFonts w:ascii="Calibri" w:eastAsia="Times New Roman" w:hAnsi="Calibri" w:cs="Calibri"/>
                <w:b/>
                <w:bCs/>
                <w:color w:val="FFFFFF"/>
                <w:sz w:val="20"/>
                <w:szCs w:val="20"/>
                <w:lang w:eastAsia="en-GB"/>
              </w:rPr>
              <w:t>Narrative on the main categories of expenditure</w:t>
            </w:r>
          </w:p>
        </w:tc>
      </w:tr>
      <w:tr w:rsidR="0069400E" w:rsidRPr="0069400E" w14:paraId="53A07C1D" w14:textId="77777777" w:rsidTr="00960987">
        <w:trPr>
          <w:trHeight w:val="287"/>
        </w:trPr>
        <w:tc>
          <w:tcPr>
            <w:tcW w:w="2127" w:type="dxa"/>
            <w:tcBorders>
              <w:top w:val="nil"/>
              <w:left w:val="single" w:sz="8" w:space="0" w:color="auto"/>
              <w:bottom w:val="nil"/>
              <w:right w:val="single" w:sz="8" w:space="0" w:color="auto"/>
            </w:tcBorders>
            <w:shd w:val="clear" w:color="000000" w:fill="0070C0"/>
            <w:noWrap/>
            <w:vAlign w:val="bottom"/>
            <w:hideMark/>
          </w:tcPr>
          <w:p w14:paraId="1ADDE160" w14:textId="77777777" w:rsidR="0069400E" w:rsidRPr="0069400E" w:rsidRDefault="0069400E" w:rsidP="0069400E">
            <w:pPr>
              <w:spacing w:after="0" w:line="240" w:lineRule="auto"/>
              <w:jc w:val="center"/>
              <w:rPr>
                <w:rFonts w:ascii="Calibri" w:eastAsia="Times New Roman" w:hAnsi="Calibri" w:cs="Calibri"/>
                <w:b/>
                <w:bCs/>
                <w:color w:val="FFFFFF"/>
                <w:sz w:val="20"/>
                <w:szCs w:val="20"/>
                <w:lang w:eastAsia="en-GB"/>
              </w:rPr>
            </w:pPr>
            <w:r w:rsidRPr="0069400E">
              <w:rPr>
                <w:rFonts w:ascii="Calibri" w:eastAsia="Times New Roman" w:hAnsi="Calibri" w:cs="Calibri"/>
                <w:b/>
                <w:bCs/>
                <w:color w:val="FFFFFF"/>
                <w:sz w:val="20"/>
                <w:szCs w:val="20"/>
                <w:lang w:eastAsia="en-GB"/>
              </w:rPr>
              <w:t>of Funding</w:t>
            </w:r>
          </w:p>
        </w:tc>
        <w:tc>
          <w:tcPr>
            <w:tcW w:w="3536" w:type="dxa"/>
            <w:tcBorders>
              <w:top w:val="nil"/>
              <w:left w:val="nil"/>
              <w:bottom w:val="nil"/>
              <w:right w:val="single" w:sz="8" w:space="0" w:color="auto"/>
            </w:tcBorders>
            <w:shd w:val="clear" w:color="000000" w:fill="0070C0"/>
            <w:noWrap/>
            <w:vAlign w:val="bottom"/>
            <w:hideMark/>
          </w:tcPr>
          <w:p w14:paraId="4D1BE6D5" w14:textId="77777777" w:rsidR="0069400E" w:rsidRPr="0069400E" w:rsidRDefault="0069400E" w:rsidP="0069400E">
            <w:pPr>
              <w:spacing w:after="0" w:line="240" w:lineRule="auto"/>
              <w:jc w:val="center"/>
              <w:rPr>
                <w:rFonts w:ascii="Calibri" w:eastAsia="Times New Roman" w:hAnsi="Calibri" w:cs="Calibri"/>
                <w:b/>
                <w:bCs/>
                <w:color w:val="FFFFFF"/>
                <w:sz w:val="20"/>
                <w:szCs w:val="20"/>
                <w:lang w:eastAsia="en-GB"/>
              </w:rPr>
            </w:pPr>
            <w:r w:rsidRPr="0069400E">
              <w:rPr>
                <w:rFonts w:ascii="Calibri" w:eastAsia="Times New Roman" w:hAnsi="Calibri" w:cs="Calibri"/>
                <w:b/>
                <w:bCs/>
                <w:color w:val="FFFFFF"/>
                <w:sz w:val="20"/>
                <w:szCs w:val="20"/>
                <w:lang w:eastAsia="en-GB"/>
              </w:rPr>
              <w:t>As at 01st May 2025</w:t>
            </w:r>
          </w:p>
        </w:tc>
        <w:tc>
          <w:tcPr>
            <w:tcW w:w="817" w:type="dxa"/>
            <w:tcBorders>
              <w:top w:val="nil"/>
              <w:left w:val="nil"/>
              <w:bottom w:val="nil"/>
              <w:right w:val="single" w:sz="8" w:space="0" w:color="auto"/>
            </w:tcBorders>
            <w:shd w:val="clear" w:color="000000" w:fill="0070C0"/>
            <w:vAlign w:val="center"/>
            <w:hideMark/>
          </w:tcPr>
          <w:p w14:paraId="427353BE" w14:textId="77777777" w:rsidR="0069400E" w:rsidRPr="0069400E" w:rsidRDefault="0069400E" w:rsidP="0069400E">
            <w:pPr>
              <w:spacing w:after="0" w:line="240" w:lineRule="auto"/>
              <w:jc w:val="center"/>
              <w:rPr>
                <w:rFonts w:ascii="Calibri" w:eastAsia="Times New Roman" w:hAnsi="Calibri" w:cs="Calibri"/>
                <w:b/>
                <w:bCs/>
                <w:color w:val="FFFFFF"/>
                <w:sz w:val="20"/>
                <w:szCs w:val="20"/>
                <w:lang w:eastAsia="en-GB"/>
              </w:rPr>
            </w:pPr>
            <w:r w:rsidRPr="0069400E">
              <w:rPr>
                <w:rFonts w:ascii="Calibri" w:eastAsia="Times New Roman" w:hAnsi="Calibri" w:cs="Calibri"/>
                <w:b/>
                <w:bCs/>
                <w:color w:val="FFFFFF"/>
                <w:sz w:val="20"/>
                <w:szCs w:val="20"/>
                <w:lang w:eastAsia="en-GB"/>
              </w:rPr>
              <w:t>£'m</w:t>
            </w:r>
          </w:p>
        </w:tc>
        <w:tc>
          <w:tcPr>
            <w:tcW w:w="693" w:type="dxa"/>
            <w:tcBorders>
              <w:top w:val="nil"/>
              <w:left w:val="nil"/>
              <w:bottom w:val="nil"/>
              <w:right w:val="single" w:sz="8" w:space="0" w:color="auto"/>
            </w:tcBorders>
            <w:shd w:val="clear" w:color="000000" w:fill="0070C0"/>
            <w:vAlign w:val="center"/>
            <w:hideMark/>
          </w:tcPr>
          <w:p w14:paraId="5D607C1C" w14:textId="77777777" w:rsidR="0069400E" w:rsidRPr="0069400E" w:rsidRDefault="0069400E" w:rsidP="0069400E">
            <w:pPr>
              <w:spacing w:after="0" w:line="240" w:lineRule="auto"/>
              <w:jc w:val="center"/>
              <w:rPr>
                <w:rFonts w:ascii="Calibri" w:eastAsia="Times New Roman" w:hAnsi="Calibri" w:cs="Calibri"/>
                <w:b/>
                <w:bCs/>
                <w:color w:val="FFFFFF"/>
                <w:sz w:val="20"/>
                <w:szCs w:val="20"/>
                <w:lang w:eastAsia="en-GB"/>
              </w:rPr>
            </w:pPr>
            <w:r w:rsidRPr="0069400E">
              <w:rPr>
                <w:rFonts w:ascii="Calibri" w:eastAsia="Times New Roman" w:hAnsi="Calibri" w:cs="Calibri"/>
                <w:b/>
                <w:bCs/>
                <w:color w:val="FFFFFF"/>
                <w:sz w:val="20"/>
                <w:szCs w:val="20"/>
                <w:lang w:eastAsia="en-GB"/>
              </w:rPr>
              <w:t>£'m</w:t>
            </w:r>
          </w:p>
        </w:tc>
        <w:tc>
          <w:tcPr>
            <w:tcW w:w="809" w:type="dxa"/>
            <w:tcBorders>
              <w:top w:val="nil"/>
              <w:left w:val="nil"/>
              <w:bottom w:val="nil"/>
              <w:right w:val="single" w:sz="8" w:space="0" w:color="auto"/>
            </w:tcBorders>
            <w:shd w:val="clear" w:color="000000" w:fill="0070C0"/>
            <w:vAlign w:val="center"/>
            <w:hideMark/>
          </w:tcPr>
          <w:p w14:paraId="59862113" w14:textId="77777777" w:rsidR="0069400E" w:rsidRPr="0069400E" w:rsidRDefault="0069400E" w:rsidP="0069400E">
            <w:pPr>
              <w:spacing w:after="0" w:line="240" w:lineRule="auto"/>
              <w:jc w:val="center"/>
              <w:rPr>
                <w:rFonts w:ascii="Calibri" w:eastAsia="Times New Roman" w:hAnsi="Calibri" w:cs="Calibri"/>
                <w:b/>
                <w:bCs/>
                <w:color w:val="FFFFFF"/>
                <w:sz w:val="20"/>
                <w:szCs w:val="20"/>
                <w:lang w:eastAsia="en-GB"/>
              </w:rPr>
            </w:pPr>
            <w:r w:rsidRPr="0069400E">
              <w:rPr>
                <w:rFonts w:ascii="Calibri" w:eastAsia="Times New Roman" w:hAnsi="Calibri" w:cs="Calibri"/>
                <w:b/>
                <w:bCs/>
                <w:color w:val="FFFFFF"/>
                <w:sz w:val="20"/>
                <w:szCs w:val="20"/>
                <w:lang w:eastAsia="en-GB"/>
              </w:rPr>
              <w:t>£'m</w:t>
            </w:r>
          </w:p>
        </w:tc>
        <w:tc>
          <w:tcPr>
            <w:tcW w:w="807" w:type="dxa"/>
            <w:tcBorders>
              <w:top w:val="nil"/>
              <w:left w:val="nil"/>
              <w:bottom w:val="nil"/>
              <w:right w:val="single" w:sz="8" w:space="0" w:color="auto"/>
            </w:tcBorders>
            <w:shd w:val="clear" w:color="000000" w:fill="0070C0"/>
            <w:vAlign w:val="center"/>
            <w:hideMark/>
          </w:tcPr>
          <w:p w14:paraId="09AFCD1E" w14:textId="77777777" w:rsidR="0069400E" w:rsidRPr="0069400E" w:rsidRDefault="0069400E" w:rsidP="0069400E">
            <w:pPr>
              <w:spacing w:after="0" w:line="240" w:lineRule="auto"/>
              <w:jc w:val="center"/>
              <w:rPr>
                <w:rFonts w:ascii="Calibri" w:eastAsia="Times New Roman" w:hAnsi="Calibri" w:cs="Calibri"/>
                <w:b/>
                <w:bCs/>
                <w:color w:val="FFFFFF"/>
                <w:sz w:val="20"/>
                <w:szCs w:val="20"/>
                <w:lang w:eastAsia="en-GB"/>
              </w:rPr>
            </w:pPr>
            <w:r w:rsidRPr="0069400E">
              <w:rPr>
                <w:rFonts w:ascii="Calibri" w:eastAsia="Times New Roman" w:hAnsi="Calibri" w:cs="Calibri"/>
                <w:b/>
                <w:bCs/>
                <w:color w:val="FFFFFF"/>
                <w:sz w:val="20"/>
                <w:szCs w:val="20"/>
                <w:lang w:eastAsia="en-GB"/>
              </w:rPr>
              <w:t>£'m</w:t>
            </w:r>
          </w:p>
        </w:tc>
        <w:tc>
          <w:tcPr>
            <w:tcW w:w="943" w:type="dxa"/>
            <w:tcBorders>
              <w:top w:val="nil"/>
              <w:left w:val="nil"/>
              <w:bottom w:val="nil"/>
              <w:right w:val="single" w:sz="8" w:space="0" w:color="auto"/>
            </w:tcBorders>
            <w:shd w:val="clear" w:color="000000" w:fill="0070C0"/>
            <w:vAlign w:val="center"/>
            <w:hideMark/>
          </w:tcPr>
          <w:p w14:paraId="385CAB00" w14:textId="77777777" w:rsidR="0069400E" w:rsidRPr="0069400E" w:rsidRDefault="0069400E" w:rsidP="0069400E">
            <w:pPr>
              <w:spacing w:after="0" w:line="240" w:lineRule="auto"/>
              <w:jc w:val="center"/>
              <w:rPr>
                <w:rFonts w:ascii="Calibri" w:eastAsia="Times New Roman" w:hAnsi="Calibri" w:cs="Calibri"/>
                <w:b/>
                <w:bCs/>
                <w:color w:val="FFFFFF"/>
                <w:sz w:val="20"/>
                <w:szCs w:val="20"/>
                <w:lang w:eastAsia="en-GB"/>
              </w:rPr>
            </w:pPr>
            <w:r w:rsidRPr="0069400E">
              <w:rPr>
                <w:rFonts w:ascii="Calibri" w:eastAsia="Times New Roman" w:hAnsi="Calibri" w:cs="Calibri"/>
                <w:b/>
                <w:bCs/>
                <w:color w:val="FFFFFF"/>
                <w:sz w:val="20"/>
                <w:szCs w:val="20"/>
                <w:lang w:eastAsia="en-GB"/>
              </w:rPr>
              <w:t>£'m</w:t>
            </w:r>
          </w:p>
        </w:tc>
        <w:tc>
          <w:tcPr>
            <w:tcW w:w="6428" w:type="dxa"/>
            <w:vMerge/>
            <w:tcBorders>
              <w:top w:val="single" w:sz="8" w:space="0" w:color="auto"/>
              <w:left w:val="single" w:sz="8" w:space="0" w:color="auto"/>
              <w:bottom w:val="single" w:sz="8" w:space="0" w:color="000000"/>
              <w:right w:val="single" w:sz="8" w:space="0" w:color="auto"/>
            </w:tcBorders>
            <w:vAlign w:val="center"/>
            <w:hideMark/>
          </w:tcPr>
          <w:p w14:paraId="5618F431" w14:textId="77777777" w:rsidR="0069400E" w:rsidRPr="0069400E" w:rsidRDefault="0069400E" w:rsidP="0069400E">
            <w:pPr>
              <w:spacing w:after="0" w:line="240" w:lineRule="auto"/>
              <w:rPr>
                <w:rFonts w:ascii="Calibri" w:eastAsia="Times New Roman" w:hAnsi="Calibri" w:cs="Calibri"/>
                <w:b/>
                <w:bCs/>
                <w:color w:val="FFFFFF"/>
                <w:sz w:val="20"/>
                <w:szCs w:val="20"/>
                <w:lang w:eastAsia="en-GB"/>
              </w:rPr>
            </w:pPr>
          </w:p>
        </w:tc>
      </w:tr>
      <w:tr w:rsidR="0069400E" w:rsidRPr="0069400E" w14:paraId="72937A11" w14:textId="77777777" w:rsidTr="00960987">
        <w:trPr>
          <w:trHeight w:val="499"/>
        </w:trPr>
        <w:tc>
          <w:tcPr>
            <w:tcW w:w="2127"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05820377" w14:textId="77777777" w:rsidR="0069400E" w:rsidRPr="0069400E" w:rsidRDefault="0069400E" w:rsidP="0069400E">
            <w:pPr>
              <w:spacing w:after="0" w:line="240" w:lineRule="auto"/>
              <w:rPr>
                <w:rFonts w:ascii="Calibri" w:eastAsia="Times New Roman" w:hAnsi="Calibri" w:cs="Calibri"/>
                <w:sz w:val="20"/>
                <w:szCs w:val="20"/>
                <w:lang w:eastAsia="en-GB"/>
              </w:rPr>
            </w:pPr>
            <w:r w:rsidRPr="0069400E">
              <w:rPr>
                <w:rFonts w:ascii="Calibri" w:eastAsia="Times New Roman" w:hAnsi="Calibri" w:cs="Calibri"/>
                <w:sz w:val="20"/>
                <w:szCs w:val="20"/>
                <w:lang w:eastAsia="en-GB"/>
              </w:rPr>
              <w:t>Confirmed</w:t>
            </w:r>
          </w:p>
        </w:tc>
        <w:tc>
          <w:tcPr>
            <w:tcW w:w="3536" w:type="dxa"/>
            <w:tcBorders>
              <w:top w:val="single" w:sz="8" w:space="0" w:color="000000"/>
              <w:left w:val="nil"/>
              <w:bottom w:val="single" w:sz="4" w:space="0" w:color="auto"/>
              <w:right w:val="single" w:sz="8" w:space="0" w:color="auto"/>
            </w:tcBorders>
            <w:shd w:val="clear" w:color="auto" w:fill="auto"/>
            <w:noWrap/>
            <w:vAlign w:val="center"/>
            <w:hideMark/>
          </w:tcPr>
          <w:p w14:paraId="67CBA33A" w14:textId="2D46F494" w:rsidR="0069400E" w:rsidRPr="0069400E" w:rsidRDefault="0069400E" w:rsidP="0069400E">
            <w:pPr>
              <w:spacing w:after="0" w:line="240" w:lineRule="auto"/>
              <w:rPr>
                <w:rFonts w:ascii="Calibri" w:eastAsia="Times New Roman" w:hAnsi="Calibri" w:cs="Calibri"/>
                <w:sz w:val="20"/>
                <w:szCs w:val="20"/>
                <w:lang w:eastAsia="en-GB"/>
              </w:rPr>
            </w:pPr>
            <w:r w:rsidRPr="0069400E">
              <w:rPr>
                <w:rFonts w:ascii="Calibri" w:eastAsia="Times New Roman" w:hAnsi="Calibri" w:cs="Calibri"/>
                <w:sz w:val="20"/>
                <w:szCs w:val="20"/>
                <w:lang w:eastAsia="en-GB"/>
              </w:rPr>
              <w:t>Operational Capital - ICB</w:t>
            </w:r>
          </w:p>
        </w:tc>
        <w:tc>
          <w:tcPr>
            <w:tcW w:w="817" w:type="dxa"/>
            <w:tcBorders>
              <w:top w:val="single" w:sz="8" w:space="0" w:color="000000"/>
              <w:left w:val="nil"/>
              <w:bottom w:val="single" w:sz="4" w:space="0" w:color="auto"/>
              <w:right w:val="single" w:sz="4" w:space="0" w:color="auto"/>
            </w:tcBorders>
            <w:shd w:val="clear" w:color="auto" w:fill="auto"/>
            <w:vAlign w:val="center"/>
            <w:hideMark/>
          </w:tcPr>
          <w:p w14:paraId="0A41CE5A" w14:textId="77777777" w:rsidR="0069400E" w:rsidRPr="0069400E" w:rsidRDefault="0069400E" w:rsidP="0069400E">
            <w:pPr>
              <w:spacing w:after="0" w:line="240" w:lineRule="auto"/>
              <w:jc w:val="right"/>
              <w:rPr>
                <w:rFonts w:ascii="Calibri" w:eastAsia="Times New Roman" w:hAnsi="Calibri" w:cs="Calibri"/>
                <w:sz w:val="20"/>
                <w:szCs w:val="20"/>
                <w:lang w:eastAsia="en-GB"/>
              </w:rPr>
            </w:pPr>
            <w:r w:rsidRPr="0069400E">
              <w:rPr>
                <w:rFonts w:ascii="Calibri" w:eastAsia="Times New Roman" w:hAnsi="Calibri" w:cs="Calibri"/>
                <w:sz w:val="20"/>
                <w:szCs w:val="20"/>
                <w:lang w:eastAsia="en-GB"/>
              </w:rPr>
              <w:t>2.5</w:t>
            </w:r>
          </w:p>
        </w:tc>
        <w:tc>
          <w:tcPr>
            <w:tcW w:w="693" w:type="dxa"/>
            <w:tcBorders>
              <w:top w:val="single" w:sz="8" w:space="0" w:color="000000"/>
              <w:left w:val="nil"/>
              <w:bottom w:val="single" w:sz="4" w:space="0" w:color="auto"/>
              <w:right w:val="single" w:sz="4" w:space="0" w:color="auto"/>
            </w:tcBorders>
            <w:shd w:val="clear" w:color="auto" w:fill="auto"/>
            <w:vAlign w:val="center"/>
            <w:hideMark/>
          </w:tcPr>
          <w:p w14:paraId="199603DA" w14:textId="77777777" w:rsidR="0069400E" w:rsidRPr="0069400E" w:rsidRDefault="0069400E" w:rsidP="0069400E">
            <w:pPr>
              <w:spacing w:after="0" w:line="240" w:lineRule="auto"/>
              <w:rPr>
                <w:rFonts w:ascii="Calibri" w:eastAsia="Times New Roman" w:hAnsi="Calibri" w:cs="Calibri"/>
                <w:sz w:val="20"/>
                <w:szCs w:val="20"/>
                <w:lang w:eastAsia="en-GB"/>
              </w:rPr>
            </w:pPr>
            <w:r w:rsidRPr="0069400E">
              <w:rPr>
                <w:rFonts w:ascii="Calibri" w:eastAsia="Times New Roman" w:hAnsi="Calibri" w:cs="Calibri"/>
                <w:sz w:val="20"/>
                <w:szCs w:val="20"/>
                <w:lang w:eastAsia="en-GB"/>
              </w:rPr>
              <w:t> </w:t>
            </w:r>
          </w:p>
        </w:tc>
        <w:tc>
          <w:tcPr>
            <w:tcW w:w="809" w:type="dxa"/>
            <w:tcBorders>
              <w:top w:val="single" w:sz="8" w:space="0" w:color="000000"/>
              <w:left w:val="nil"/>
              <w:bottom w:val="single" w:sz="4" w:space="0" w:color="auto"/>
              <w:right w:val="single" w:sz="4" w:space="0" w:color="auto"/>
            </w:tcBorders>
            <w:shd w:val="clear" w:color="auto" w:fill="auto"/>
            <w:vAlign w:val="center"/>
            <w:hideMark/>
          </w:tcPr>
          <w:p w14:paraId="2B1E7BAB" w14:textId="77777777" w:rsidR="0069400E" w:rsidRPr="0069400E" w:rsidRDefault="0069400E" w:rsidP="0069400E">
            <w:pPr>
              <w:spacing w:after="0" w:line="240" w:lineRule="auto"/>
              <w:rPr>
                <w:rFonts w:ascii="Calibri" w:eastAsia="Times New Roman" w:hAnsi="Calibri" w:cs="Calibri"/>
                <w:sz w:val="20"/>
                <w:szCs w:val="20"/>
                <w:lang w:eastAsia="en-GB"/>
              </w:rPr>
            </w:pPr>
            <w:r w:rsidRPr="0069400E">
              <w:rPr>
                <w:rFonts w:ascii="Calibri" w:eastAsia="Times New Roman" w:hAnsi="Calibri" w:cs="Calibri"/>
                <w:sz w:val="20"/>
                <w:szCs w:val="20"/>
                <w:lang w:eastAsia="en-GB"/>
              </w:rPr>
              <w:t> </w:t>
            </w:r>
          </w:p>
        </w:tc>
        <w:tc>
          <w:tcPr>
            <w:tcW w:w="807" w:type="dxa"/>
            <w:tcBorders>
              <w:top w:val="single" w:sz="8" w:space="0" w:color="000000"/>
              <w:left w:val="nil"/>
              <w:bottom w:val="single" w:sz="4" w:space="0" w:color="auto"/>
              <w:right w:val="single" w:sz="8" w:space="0" w:color="auto"/>
            </w:tcBorders>
            <w:shd w:val="clear" w:color="auto" w:fill="auto"/>
            <w:vAlign w:val="center"/>
            <w:hideMark/>
          </w:tcPr>
          <w:p w14:paraId="4B7B0ECF" w14:textId="77777777" w:rsidR="0069400E" w:rsidRPr="0069400E" w:rsidRDefault="0069400E" w:rsidP="0069400E">
            <w:pPr>
              <w:spacing w:after="0" w:line="240" w:lineRule="auto"/>
              <w:rPr>
                <w:rFonts w:ascii="Calibri" w:eastAsia="Times New Roman" w:hAnsi="Calibri" w:cs="Calibri"/>
                <w:sz w:val="20"/>
                <w:szCs w:val="20"/>
                <w:lang w:eastAsia="en-GB"/>
              </w:rPr>
            </w:pPr>
            <w:r w:rsidRPr="0069400E">
              <w:rPr>
                <w:rFonts w:ascii="Calibri" w:eastAsia="Times New Roman" w:hAnsi="Calibri" w:cs="Calibri"/>
                <w:sz w:val="20"/>
                <w:szCs w:val="20"/>
                <w:lang w:eastAsia="en-GB"/>
              </w:rPr>
              <w:t> </w:t>
            </w:r>
          </w:p>
        </w:tc>
        <w:tc>
          <w:tcPr>
            <w:tcW w:w="943" w:type="dxa"/>
            <w:tcBorders>
              <w:top w:val="nil"/>
              <w:left w:val="nil"/>
              <w:bottom w:val="nil"/>
              <w:right w:val="single" w:sz="8" w:space="0" w:color="auto"/>
            </w:tcBorders>
            <w:shd w:val="clear" w:color="000000" w:fill="D9D9D9"/>
            <w:noWrap/>
            <w:vAlign w:val="center"/>
            <w:hideMark/>
          </w:tcPr>
          <w:p w14:paraId="4AF4042C" w14:textId="77777777" w:rsidR="0069400E" w:rsidRPr="0069400E" w:rsidRDefault="0069400E" w:rsidP="0069400E">
            <w:pPr>
              <w:spacing w:after="0" w:line="240" w:lineRule="auto"/>
              <w:jc w:val="right"/>
              <w:rPr>
                <w:rFonts w:ascii="Calibri" w:eastAsia="Times New Roman" w:hAnsi="Calibri" w:cs="Calibri"/>
                <w:b/>
                <w:bCs/>
                <w:sz w:val="20"/>
                <w:szCs w:val="20"/>
                <w:lang w:eastAsia="en-GB"/>
              </w:rPr>
            </w:pPr>
            <w:r w:rsidRPr="0069400E">
              <w:rPr>
                <w:rFonts w:ascii="Calibri" w:eastAsia="Times New Roman" w:hAnsi="Calibri" w:cs="Calibri"/>
                <w:b/>
                <w:bCs/>
                <w:sz w:val="20"/>
                <w:szCs w:val="20"/>
                <w:lang w:eastAsia="en-GB"/>
              </w:rPr>
              <w:t>2.5</w:t>
            </w:r>
          </w:p>
        </w:tc>
        <w:tc>
          <w:tcPr>
            <w:tcW w:w="6428" w:type="dxa"/>
            <w:tcBorders>
              <w:top w:val="nil"/>
              <w:left w:val="nil"/>
              <w:bottom w:val="single" w:sz="4" w:space="0" w:color="auto"/>
              <w:right w:val="single" w:sz="8" w:space="0" w:color="auto"/>
            </w:tcBorders>
            <w:shd w:val="clear" w:color="auto" w:fill="auto"/>
            <w:vAlign w:val="center"/>
            <w:hideMark/>
          </w:tcPr>
          <w:p w14:paraId="0E50F82F" w14:textId="77777777" w:rsidR="0069400E" w:rsidRPr="0069400E" w:rsidRDefault="0069400E" w:rsidP="0069400E">
            <w:pPr>
              <w:spacing w:after="0" w:line="240" w:lineRule="auto"/>
              <w:rPr>
                <w:rFonts w:ascii="Calibri" w:eastAsia="Times New Roman" w:hAnsi="Calibri" w:cs="Calibri"/>
                <w:sz w:val="20"/>
                <w:szCs w:val="20"/>
                <w:lang w:eastAsia="en-GB"/>
              </w:rPr>
            </w:pPr>
            <w:r w:rsidRPr="0069400E">
              <w:rPr>
                <w:rFonts w:ascii="Calibri" w:eastAsia="Times New Roman" w:hAnsi="Calibri" w:cs="Calibri"/>
                <w:sz w:val="20"/>
                <w:szCs w:val="20"/>
                <w:lang w:eastAsia="en-GB"/>
              </w:rPr>
              <w:t>The ICB capital plans relate to GP IT £1.5m and primary care premises developments/improvements £1m.</w:t>
            </w:r>
          </w:p>
        </w:tc>
      </w:tr>
      <w:tr w:rsidR="0069400E" w:rsidRPr="0069400E" w14:paraId="687038A2" w14:textId="77777777" w:rsidTr="00960987">
        <w:trPr>
          <w:trHeight w:val="499"/>
        </w:trPr>
        <w:tc>
          <w:tcPr>
            <w:tcW w:w="2127" w:type="dxa"/>
            <w:tcBorders>
              <w:top w:val="nil"/>
              <w:left w:val="single" w:sz="8" w:space="0" w:color="auto"/>
              <w:bottom w:val="single" w:sz="4" w:space="0" w:color="auto"/>
              <w:right w:val="single" w:sz="8" w:space="0" w:color="auto"/>
            </w:tcBorders>
            <w:shd w:val="clear" w:color="auto" w:fill="auto"/>
            <w:vAlign w:val="center"/>
            <w:hideMark/>
          </w:tcPr>
          <w:p w14:paraId="6DD61DC0" w14:textId="77777777" w:rsidR="0069400E" w:rsidRPr="0069400E" w:rsidRDefault="0069400E" w:rsidP="0069400E">
            <w:pPr>
              <w:spacing w:after="0" w:line="240" w:lineRule="auto"/>
              <w:rPr>
                <w:rFonts w:ascii="Calibri" w:eastAsia="Times New Roman" w:hAnsi="Calibri" w:cs="Calibri"/>
                <w:sz w:val="20"/>
                <w:szCs w:val="20"/>
                <w:lang w:eastAsia="en-GB"/>
              </w:rPr>
            </w:pPr>
            <w:r w:rsidRPr="0069400E">
              <w:rPr>
                <w:rFonts w:ascii="Calibri" w:eastAsia="Times New Roman" w:hAnsi="Calibri" w:cs="Calibri"/>
                <w:sz w:val="20"/>
                <w:szCs w:val="20"/>
                <w:lang w:eastAsia="en-GB"/>
              </w:rPr>
              <w:t>Supported in principle, approval expected Jun</w:t>
            </w:r>
          </w:p>
        </w:tc>
        <w:tc>
          <w:tcPr>
            <w:tcW w:w="3536" w:type="dxa"/>
            <w:tcBorders>
              <w:top w:val="nil"/>
              <w:left w:val="nil"/>
              <w:bottom w:val="nil"/>
              <w:right w:val="single" w:sz="8" w:space="0" w:color="auto"/>
            </w:tcBorders>
            <w:shd w:val="clear" w:color="auto" w:fill="auto"/>
            <w:noWrap/>
            <w:vAlign w:val="center"/>
            <w:hideMark/>
          </w:tcPr>
          <w:p w14:paraId="4A405266" w14:textId="77777777" w:rsidR="0069400E" w:rsidRPr="0069400E" w:rsidRDefault="0069400E" w:rsidP="0069400E">
            <w:pPr>
              <w:spacing w:after="0" w:line="240" w:lineRule="auto"/>
              <w:rPr>
                <w:rFonts w:ascii="Calibri" w:eastAsia="Times New Roman" w:hAnsi="Calibri" w:cs="Calibri"/>
                <w:sz w:val="20"/>
                <w:szCs w:val="20"/>
                <w:lang w:eastAsia="en-GB"/>
              </w:rPr>
            </w:pPr>
            <w:r w:rsidRPr="0069400E">
              <w:rPr>
                <w:rFonts w:ascii="Calibri" w:eastAsia="Times New Roman" w:hAnsi="Calibri" w:cs="Calibri"/>
                <w:sz w:val="20"/>
                <w:szCs w:val="20"/>
                <w:lang w:eastAsia="en-GB"/>
              </w:rPr>
              <w:t>Utilisation &amp; Modernisation Fund</w:t>
            </w:r>
          </w:p>
        </w:tc>
        <w:tc>
          <w:tcPr>
            <w:tcW w:w="817" w:type="dxa"/>
            <w:tcBorders>
              <w:top w:val="nil"/>
              <w:left w:val="nil"/>
              <w:bottom w:val="nil"/>
              <w:right w:val="single" w:sz="4" w:space="0" w:color="auto"/>
            </w:tcBorders>
            <w:shd w:val="clear" w:color="auto" w:fill="auto"/>
            <w:vAlign w:val="center"/>
            <w:hideMark/>
          </w:tcPr>
          <w:p w14:paraId="20A5F271" w14:textId="77777777" w:rsidR="0069400E" w:rsidRPr="0069400E" w:rsidRDefault="0069400E" w:rsidP="0069400E">
            <w:pPr>
              <w:spacing w:after="0" w:line="240" w:lineRule="auto"/>
              <w:jc w:val="right"/>
              <w:rPr>
                <w:rFonts w:ascii="Calibri" w:eastAsia="Times New Roman" w:hAnsi="Calibri" w:cs="Calibri"/>
                <w:sz w:val="20"/>
                <w:szCs w:val="20"/>
                <w:lang w:eastAsia="en-GB"/>
              </w:rPr>
            </w:pPr>
            <w:r w:rsidRPr="0069400E">
              <w:rPr>
                <w:rFonts w:ascii="Calibri" w:eastAsia="Times New Roman" w:hAnsi="Calibri" w:cs="Calibri"/>
                <w:sz w:val="20"/>
                <w:szCs w:val="20"/>
                <w:lang w:eastAsia="en-GB"/>
              </w:rPr>
              <w:t>2.1</w:t>
            </w:r>
          </w:p>
        </w:tc>
        <w:tc>
          <w:tcPr>
            <w:tcW w:w="693" w:type="dxa"/>
            <w:tcBorders>
              <w:top w:val="nil"/>
              <w:left w:val="nil"/>
              <w:bottom w:val="nil"/>
              <w:right w:val="single" w:sz="4" w:space="0" w:color="auto"/>
            </w:tcBorders>
            <w:shd w:val="clear" w:color="auto" w:fill="auto"/>
            <w:vAlign w:val="center"/>
            <w:hideMark/>
          </w:tcPr>
          <w:p w14:paraId="1952954C" w14:textId="77777777" w:rsidR="0069400E" w:rsidRPr="0069400E" w:rsidRDefault="0069400E" w:rsidP="0069400E">
            <w:pPr>
              <w:spacing w:after="0" w:line="240" w:lineRule="auto"/>
              <w:rPr>
                <w:rFonts w:ascii="Calibri" w:eastAsia="Times New Roman" w:hAnsi="Calibri" w:cs="Calibri"/>
                <w:sz w:val="20"/>
                <w:szCs w:val="20"/>
                <w:lang w:eastAsia="en-GB"/>
              </w:rPr>
            </w:pPr>
            <w:r w:rsidRPr="0069400E">
              <w:rPr>
                <w:rFonts w:ascii="Calibri" w:eastAsia="Times New Roman" w:hAnsi="Calibri" w:cs="Calibri"/>
                <w:sz w:val="20"/>
                <w:szCs w:val="20"/>
                <w:lang w:eastAsia="en-GB"/>
              </w:rPr>
              <w:t> </w:t>
            </w:r>
          </w:p>
        </w:tc>
        <w:tc>
          <w:tcPr>
            <w:tcW w:w="809" w:type="dxa"/>
            <w:tcBorders>
              <w:top w:val="nil"/>
              <w:left w:val="nil"/>
              <w:bottom w:val="nil"/>
              <w:right w:val="single" w:sz="4" w:space="0" w:color="auto"/>
            </w:tcBorders>
            <w:shd w:val="clear" w:color="auto" w:fill="auto"/>
            <w:vAlign w:val="center"/>
            <w:hideMark/>
          </w:tcPr>
          <w:p w14:paraId="10363996" w14:textId="77777777" w:rsidR="0069400E" w:rsidRPr="0069400E" w:rsidRDefault="0069400E" w:rsidP="0069400E">
            <w:pPr>
              <w:spacing w:after="0" w:line="240" w:lineRule="auto"/>
              <w:rPr>
                <w:rFonts w:ascii="Calibri" w:eastAsia="Times New Roman" w:hAnsi="Calibri" w:cs="Calibri"/>
                <w:sz w:val="20"/>
                <w:szCs w:val="20"/>
                <w:lang w:eastAsia="en-GB"/>
              </w:rPr>
            </w:pPr>
            <w:r w:rsidRPr="0069400E">
              <w:rPr>
                <w:rFonts w:ascii="Calibri" w:eastAsia="Times New Roman" w:hAnsi="Calibri" w:cs="Calibri"/>
                <w:sz w:val="20"/>
                <w:szCs w:val="20"/>
                <w:lang w:eastAsia="en-GB"/>
              </w:rPr>
              <w:t> </w:t>
            </w:r>
          </w:p>
        </w:tc>
        <w:tc>
          <w:tcPr>
            <w:tcW w:w="807" w:type="dxa"/>
            <w:tcBorders>
              <w:top w:val="nil"/>
              <w:left w:val="nil"/>
              <w:bottom w:val="nil"/>
              <w:right w:val="single" w:sz="8" w:space="0" w:color="auto"/>
            </w:tcBorders>
            <w:shd w:val="clear" w:color="auto" w:fill="auto"/>
            <w:vAlign w:val="center"/>
            <w:hideMark/>
          </w:tcPr>
          <w:p w14:paraId="0B4BF315" w14:textId="77777777" w:rsidR="0069400E" w:rsidRPr="0069400E" w:rsidRDefault="0069400E" w:rsidP="0069400E">
            <w:pPr>
              <w:spacing w:after="0" w:line="240" w:lineRule="auto"/>
              <w:rPr>
                <w:rFonts w:ascii="Calibri" w:eastAsia="Times New Roman" w:hAnsi="Calibri" w:cs="Calibri"/>
                <w:sz w:val="20"/>
                <w:szCs w:val="20"/>
                <w:lang w:eastAsia="en-GB"/>
              </w:rPr>
            </w:pPr>
            <w:r w:rsidRPr="0069400E">
              <w:rPr>
                <w:rFonts w:ascii="Calibri" w:eastAsia="Times New Roman" w:hAnsi="Calibri" w:cs="Calibri"/>
                <w:sz w:val="20"/>
                <w:szCs w:val="20"/>
                <w:lang w:eastAsia="en-GB"/>
              </w:rPr>
              <w:t> </w:t>
            </w:r>
          </w:p>
        </w:tc>
        <w:tc>
          <w:tcPr>
            <w:tcW w:w="943" w:type="dxa"/>
            <w:tcBorders>
              <w:top w:val="nil"/>
              <w:left w:val="nil"/>
              <w:bottom w:val="nil"/>
              <w:right w:val="single" w:sz="8" w:space="0" w:color="auto"/>
            </w:tcBorders>
            <w:shd w:val="clear" w:color="000000" w:fill="D9D9D9"/>
            <w:noWrap/>
            <w:vAlign w:val="center"/>
            <w:hideMark/>
          </w:tcPr>
          <w:p w14:paraId="7BB919F5" w14:textId="77777777" w:rsidR="0069400E" w:rsidRPr="0069400E" w:rsidRDefault="0069400E" w:rsidP="0069400E">
            <w:pPr>
              <w:spacing w:after="0" w:line="240" w:lineRule="auto"/>
              <w:jc w:val="right"/>
              <w:rPr>
                <w:rFonts w:ascii="Calibri" w:eastAsia="Times New Roman" w:hAnsi="Calibri" w:cs="Calibri"/>
                <w:b/>
                <w:bCs/>
                <w:sz w:val="20"/>
                <w:szCs w:val="20"/>
                <w:lang w:eastAsia="en-GB"/>
              </w:rPr>
            </w:pPr>
            <w:r w:rsidRPr="0069400E">
              <w:rPr>
                <w:rFonts w:ascii="Calibri" w:eastAsia="Times New Roman" w:hAnsi="Calibri" w:cs="Calibri"/>
                <w:b/>
                <w:bCs/>
                <w:sz w:val="20"/>
                <w:szCs w:val="20"/>
                <w:lang w:eastAsia="en-GB"/>
              </w:rPr>
              <w:t>2.1</w:t>
            </w:r>
          </w:p>
        </w:tc>
        <w:tc>
          <w:tcPr>
            <w:tcW w:w="6428" w:type="dxa"/>
            <w:tcBorders>
              <w:top w:val="nil"/>
              <w:left w:val="nil"/>
              <w:bottom w:val="nil"/>
              <w:right w:val="single" w:sz="8" w:space="0" w:color="auto"/>
            </w:tcBorders>
            <w:shd w:val="clear" w:color="auto" w:fill="auto"/>
            <w:vAlign w:val="center"/>
            <w:hideMark/>
          </w:tcPr>
          <w:p w14:paraId="0725C817" w14:textId="77777777" w:rsidR="0069400E" w:rsidRPr="0069400E" w:rsidRDefault="0069400E" w:rsidP="0069400E">
            <w:pPr>
              <w:spacing w:after="0" w:line="240" w:lineRule="auto"/>
              <w:rPr>
                <w:rFonts w:ascii="Calibri" w:eastAsia="Times New Roman" w:hAnsi="Calibri" w:cs="Calibri"/>
                <w:sz w:val="20"/>
                <w:szCs w:val="20"/>
                <w:lang w:eastAsia="en-GB"/>
              </w:rPr>
            </w:pPr>
            <w:r w:rsidRPr="0069400E">
              <w:rPr>
                <w:rFonts w:ascii="Calibri" w:eastAsia="Times New Roman" w:hAnsi="Calibri" w:cs="Calibri"/>
                <w:sz w:val="20"/>
                <w:szCs w:val="20"/>
                <w:lang w:eastAsia="en-GB"/>
              </w:rPr>
              <w:t>The ICB Utilisation &amp; Modernisation fund is for small premises improvements in general practice.</w:t>
            </w:r>
          </w:p>
        </w:tc>
      </w:tr>
      <w:tr w:rsidR="0069400E" w:rsidRPr="0069400E" w14:paraId="32621D20" w14:textId="77777777" w:rsidTr="00960987">
        <w:trPr>
          <w:trHeight w:val="508"/>
        </w:trPr>
        <w:tc>
          <w:tcPr>
            <w:tcW w:w="2127" w:type="dxa"/>
            <w:tcBorders>
              <w:top w:val="nil"/>
              <w:left w:val="single" w:sz="8" w:space="0" w:color="auto"/>
              <w:bottom w:val="nil"/>
              <w:right w:val="single" w:sz="8" w:space="0" w:color="auto"/>
            </w:tcBorders>
            <w:shd w:val="clear" w:color="auto" w:fill="auto"/>
            <w:noWrap/>
            <w:vAlign w:val="center"/>
            <w:hideMark/>
          </w:tcPr>
          <w:p w14:paraId="0DAF4381" w14:textId="77777777" w:rsidR="0069400E" w:rsidRPr="0069400E" w:rsidRDefault="0069400E" w:rsidP="0069400E">
            <w:pPr>
              <w:spacing w:after="0" w:line="240" w:lineRule="auto"/>
              <w:rPr>
                <w:rFonts w:ascii="Calibri" w:eastAsia="Times New Roman" w:hAnsi="Calibri" w:cs="Calibri"/>
                <w:sz w:val="20"/>
                <w:szCs w:val="20"/>
                <w:lang w:eastAsia="en-GB"/>
              </w:rPr>
            </w:pPr>
            <w:r w:rsidRPr="0069400E">
              <w:rPr>
                <w:rFonts w:ascii="Calibri" w:eastAsia="Times New Roman" w:hAnsi="Calibri" w:cs="Calibri"/>
                <w:sz w:val="20"/>
                <w:szCs w:val="20"/>
                <w:lang w:eastAsia="en-GB"/>
              </w:rPr>
              <w:t>Confirmed</w:t>
            </w:r>
          </w:p>
        </w:tc>
        <w:tc>
          <w:tcPr>
            <w:tcW w:w="3536" w:type="dxa"/>
            <w:tcBorders>
              <w:top w:val="single" w:sz="4" w:space="0" w:color="auto"/>
              <w:left w:val="nil"/>
              <w:bottom w:val="single" w:sz="8" w:space="0" w:color="auto"/>
              <w:right w:val="single" w:sz="8" w:space="0" w:color="auto"/>
            </w:tcBorders>
            <w:shd w:val="clear" w:color="auto" w:fill="auto"/>
            <w:noWrap/>
            <w:vAlign w:val="center"/>
            <w:hideMark/>
          </w:tcPr>
          <w:p w14:paraId="17BD657C" w14:textId="2B17E662" w:rsidR="0069400E" w:rsidRPr="0069400E" w:rsidRDefault="0069400E" w:rsidP="0069400E">
            <w:pPr>
              <w:spacing w:after="0" w:line="240" w:lineRule="auto"/>
              <w:rPr>
                <w:rFonts w:ascii="Calibri" w:eastAsia="Times New Roman" w:hAnsi="Calibri" w:cs="Calibri"/>
                <w:sz w:val="20"/>
                <w:szCs w:val="20"/>
                <w:lang w:eastAsia="en-GB"/>
              </w:rPr>
            </w:pPr>
            <w:r w:rsidRPr="0069400E">
              <w:rPr>
                <w:rFonts w:ascii="Calibri" w:eastAsia="Times New Roman" w:hAnsi="Calibri" w:cs="Calibri"/>
                <w:sz w:val="20"/>
                <w:szCs w:val="20"/>
                <w:lang w:eastAsia="en-GB"/>
              </w:rPr>
              <w:t xml:space="preserve">Operational Capital - Provider </w:t>
            </w:r>
          </w:p>
        </w:tc>
        <w:tc>
          <w:tcPr>
            <w:tcW w:w="817" w:type="dxa"/>
            <w:tcBorders>
              <w:top w:val="single" w:sz="4" w:space="0" w:color="auto"/>
              <w:left w:val="nil"/>
              <w:bottom w:val="single" w:sz="8" w:space="0" w:color="auto"/>
              <w:right w:val="single" w:sz="4" w:space="0" w:color="auto"/>
            </w:tcBorders>
            <w:shd w:val="clear" w:color="auto" w:fill="auto"/>
            <w:vAlign w:val="center"/>
            <w:hideMark/>
          </w:tcPr>
          <w:p w14:paraId="57EB13AC" w14:textId="77777777" w:rsidR="0069400E" w:rsidRPr="0069400E" w:rsidRDefault="0069400E" w:rsidP="0069400E">
            <w:pPr>
              <w:spacing w:after="0" w:line="240" w:lineRule="auto"/>
              <w:rPr>
                <w:rFonts w:ascii="Calibri" w:eastAsia="Times New Roman" w:hAnsi="Calibri" w:cs="Calibri"/>
                <w:sz w:val="20"/>
                <w:szCs w:val="20"/>
                <w:lang w:eastAsia="en-GB"/>
              </w:rPr>
            </w:pPr>
            <w:r w:rsidRPr="0069400E">
              <w:rPr>
                <w:rFonts w:ascii="Calibri" w:eastAsia="Times New Roman" w:hAnsi="Calibri" w:cs="Calibri"/>
                <w:sz w:val="20"/>
                <w:szCs w:val="20"/>
                <w:lang w:eastAsia="en-GB"/>
              </w:rPr>
              <w:t> </w:t>
            </w:r>
          </w:p>
        </w:tc>
        <w:tc>
          <w:tcPr>
            <w:tcW w:w="693" w:type="dxa"/>
            <w:tcBorders>
              <w:top w:val="single" w:sz="4" w:space="0" w:color="auto"/>
              <w:left w:val="nil"/>
              <w:bottom w:val="single" w:sz="8" w:space="0" w:color="auto"/>
              <w:right w:val="single" w:sz="4" w:space="0" w:color="auto"/>
            </w:tcBorders>
            <w:shd w:val="clear" w:color="auto" w:fill="auto"/>
            <w:vAlign w:val="center"/>
            <w:hideMark/>
          </w:tcPr>
          <w:p w14:paraId="705E8E37" w14:textId="77777777" w:rsidR="0069400E" w:rsidRPr="0069400E" w:rsidRDefault="0069400E" w:rsidP="0069400E">
            <w:pPr>
              <w:spacing w:after="0" w:line="240" w:lineRule="auto"/>
              <w:jc w:val="right"/>
              <w:rPr>
                <w:rFonts w:ascii="Calibri" w:eastAsia="Times New Roman" w:hAnsi="Calibri" w:cs="Calibri"/>
                <w:sz w:val="20"/>
                <w:szCs w:val="20"/>
                <w:lang w:eastAsia="en-GB"/>
              </w:rPr>
            </w:pPr>
            <w:r w:rsidRPr="0069400E">
              <w:rPr>
                <w:rFonts w:ascii="Calibri" w:eastAsia="Times New Roman" w:hAnsi="Calibri" w:cs="Calibri"/>
                <w:sz w:val="20"/>
                <w:szCs w:val="20"/>
                <w:lang w:eastAsia="en-GB"/>
              </w:rPr>
              <w:t>57.6</w:t>
            </w:r>
          </w:p>
        </w:tc>
        <w:tc>
          <w:tcPr>
            <w:tcW w:w="809" w:type="dxa"/>
            <w:tcBorders>
              <w:top w:val="single" w:sz="4" w:space="0" w:color="auto"/>
              <w:left w:val="nil"/>
              <w:bottom w:val="single" w:sz="8" w:space="0" w:color="auto"/>
              <w:right w:val="single" w:sz="4" w:space="0" w:color="auto"/>
            </w:tcBorders>
            <w:shd w:val="clear" w:color="auto" w:fill="auto"/>
            <w:vAlign w:val="center"/>
            <w:hideMark/>
          </w:tcPr>
          <w:p w14:paraId="7682C0EC" w14:textId="77777777" w:rsidR="0069400E" w:rsidRPr="0069400E" w:rsidRDefault="0069400E" w:rsidP="0069400E">
            <w:pPr>
              <w:spacing w:after="0" w:line="240" w:lineRule="auto"/>
              <w:jc w:val="right"/>
              <w:rPr>
                <w:rFonts w:ascii="Calibri" w:eastAsia="Times New Roman" w:hAnsi="Calibri" w:cs="Calibri"/>
                <w:sz w:val="20"/>
                <w:szCs w:val="20"/>
                <w:lang w:eastAsia="en-GB"/>
              </w:rPr>
            </w:pPr>
            <w:r w:rsidRPr="0069400E">
              <w:rPr>
                <w:rFonts w:ascii="Calibri" w:eastAsia="Times New Roman" w:hAnsi="Calibri" w:cs="Calibri"/>
                <w:sz w:val="20"/>
                <w:szCs w:val="20"/>
                <w:lang w:eastAsia="en-GB"/>
              </w:rPr>
              <w:t>15.5</w:t>
            </w:r>
          </w:p>
        </w:tc>
        <w:tc>
          <w:tcPr>
            <w:tcW w:w="807" w:type="dxa"/>
            <w:tcBorders>
              <w:top w:val="single" w:sz="4" w:space="0" w:color="auto"/>
              <w:left w:val="nil"/>
              <w:bottom w:val="single" w:sz="8" w:space="0" w:color="auto"/>
              <w:right w:val="single" w:sz="8" w:space="0" w:color="auto"/>
            </w:tcBorders>
            <w:shd w:val="clear" w:color="auto" w:fill="auto"/>
            <w:vAlign w:val="center"/>
            <w:hideMark/>
          </w:tcPr>
          <w:p w14:paraId="11302223" w14:textId="77777777" w:rsidR="0069400E" w:rsidRPr="0069400E" w:rsidRDefault="0069400E" w:rsidP="0069400E">
            <w:pPr>
              <w:spacing w:after="0" w:line="240" w:lineRule="auto"/>
              <w:jc w:val="right"/>
              <w:rPr>
                <w:rFonts w:ascii="Calibri" w:eastAsia="Times New Roman" w:hAnsi="Calibri" w:cs="Calibri"/>
                <w:sz w:val="20"/>
                <w:szCs w:val="20"/>
                <w:lang w:eastAsia="en-GB"/>
              </w:rPr>
            </w:pPr>
            <w:r w:rsidRPr="0069400E">
              <w:rPr>
                <w:rFonts w:ascii="Calibri" w:eastAsia="Times New Roman" w:hAnsi="Calibri" w:cs="Calibri"/>
                <w:sz w:val="20"/>
                <w:szCs w:val="20"/>
                <w:lang w:eastAsia="en-GB"/>
              </w:rPr>
              <w:t>13.5</w:t>
            </w:r>
          </w:p>
        </w:tc>
        <w:tc>
          <w:tcPr>
            <w:tcW w:w="943" w:type="dxa"/>
            <w:tcBorders>
              <w:top w:val="nil"/>
              <w:left w:val="nil"/>
              <w:bottom w:val="nil"/>
              <w:right w:val="single" w:sz="8" w:space="0" w:color="auto"/>
            </w:tcBorders>
            <w:shd w:val="clear" w:color="000000" w:fill="D9D9D9"/>
            <w:noWrap/>
            <w:vAlign w:val="center"/>
            <w:hideMark/>
          </w:tcPr>
          <w:p w14:paraId="7E9A4AB0" w14:textId="77777777" w:rsidR="0069400E" w:rsidRPr="0069400E" w:rsidRDefault="0069400E" w:rsidP="0069400E">
            <w:pPr>
              <w:spacing w:after="0" w:line="240" w:lineRule="auto"/>
              <w:jc w:val="right"/>
              <w:rPr>
                <w:rFonts w:ascii="Calibri" w:eastAsia="Times New Roman" w:hAnsi="Calibri" w:cs="Calibri"/>
                <w:b/>
                <w:bCs/>
                <w:sz w:val="20"/>
                <w:szCs w:val="20"/>
                <w:lang w:eastAsia="en-GB"/>
              </w:rPr>
            </w:pPr>
            <w:r w:rsidRPr="0069400E">
              <w:rPr>
                <w:rFonts w:ascii="Calibri" w:eastAsia="Times New Roman" w:hAnsi="Calibri" w:cs="Calibri"/>
                <w:b/>
                <w:bCs/>
                <w:sz w:val="20"/>
                <w:szCs w:val="20"/>
                <w:lang w:eastAsia="en-GB"/>
              </w:rPr>
              <w:t>86.7</w:t>
            </w:r>
          </w:p>
        </w:tc>
        <w:tc>
          <w:tcPr>
            <w:tcW w:w="6428" w:type="dxa"/>
            <w:tcBorders>
              <w:top w:val="single" w:sz="4" w:space="0" w:color="auto"/>
              <w:left w:val="nil"/>
              <w:bottom w:val="single" w:sz="8" w:space="0" w:color="auto"/>
              <w:right w:val="single" w:sz="8" w:space="0" w:color="auto"/>
            </w:tcBorders>
            <w:shd w:val="clear" w:color="auto" w:fill="auto"/>
            <w:vAlign w:val="center"/>
            <w:hideMark/>
          </w:tcPr>
          <w:p w14:paraId="00304810" w14:textId="77777777" w:rsidR="0069400E" w:rsidRPr="0069400E" w:rsidRDefault="0069400E" w:rsidP="0069400E">
            <w:pPr>
              <w:spacing w:after="0" w:line="240" w:lineRule="auto"/>
              <w:rPr>
                <w:rFonts w:ascii="Calibri" w:eastAsia="Times New Roman" w:hAnsi="Calibri" w:cs="Calibri"/>
                <w:sz w:val="20"/>
                <w:szCs w:val="20"/>
                <w:lang w:eastAsia="en-GB"/>
              </w:rPr>
            </w:pPr>
            <w:r w:rsidRPr="0069400E">
              <w:rPr>
                <w:rFonts w:ascii="Calibri" w:eastAsia="Times New Roman" w:hAnsi="Calibri" w:cs="Calibri"/>
                <w:sz w:val="20"/>
                <w:szCs w:val="20"/>
                <w:lang w:eastAsia="en-GB"/>
              </w:rPr>
              <w:t>This funding is to support business as usual e.g. backlog maintenance and supports a number of other large &amp; national schemes e.g. digital.</w:t>
            </w:r>
          </w:p>
        </w:tc>
      </w:tr>
      <w:tr w:rsidR="0069400E" w:rsidRPr="0069400E" w14:paraId="2B45A6CA" w14:textId="77777777" w:rsidTr="00960987">
        <w:trPr>
          <w:trHeight w:val="287"/>
        </w:trPr>
        <w:tc>
          <w:tcPr>
            <w:tcW w:w="2127"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31297C3F" w14:textId="77777777" w:rsidR="0069400E" w:rsidRPr="0069400E" w:rsidRDefault="0069400E" w:rsidP="0069400E">
            <w:pPr>
              <w:spacing w:after="0" w:line="240" w:lineRule="auto"/>
              <w:rPr>
                <w:rFonts w:ascii="Calibri" w:eastAsia="Times New Roman" w:hAnsi="Calibri" w:cs="Calibri"/>
                <w:b/>
                <w:bCs/>
                <w:sz w:val="20"/>
                <w:szCs w:val="20"/>
                <w:lang w:eastAsia="en-GB"/>
              </w:rPr>
            </w:pPr>
            <w:r w:rsidRPr="0069400E">
              <w:rPr>
                <w:rFonts w:ascii="Calibri" w:eastAsia="Times New Roman" w:hAnsi="Calibri" w:cs="Calibri"/>
                <w:b/>
                <w:bCs/>
                <w:sz w:val="20"/>
                <w:szCs w:val="20"/>
                <w:lang w:eastAsia="en-GB"/>
              </w:rPr>
              <w:t> </w:t>
            </w:r>
          </w:p>
        </w:tc>
        <w:tc>
          <w:tcPr>
            <w:tcW w:w="3536" w:type="dxa"/>
            <w:tcBorders>
              <w:top w:val="nil"/>
              <w:left w:val="nil"/>
              <w:bottom w:val="single" w:sz="8" w:space="0" w:color="auto"/>
              <w:right w:val="single" w:sz="8" w:space="0" w:color="auto"/>
            </w:tcBorders>
            <w:shd w:val="clear" w:color="000000" w:fill="D9D9D9"/>
            <w:noWrap/>
            <w:vAlign w:val="center"/>
            <w:hideMark/>
          </w:tcPr>
          <w:p w14:paraId="1F90487E" w14:textId="7380D54F" w:rsidR="0069400E" w:rsidRPr="0069400E" w:rsidRDefault="0069400E" w:rsidP="0069400E">
            <w:pPr>
              <w:spacing w:after="0" w:line="240" w:lineRule="auto"/>
              <w:rPr>
                <w:rFonts w:ascii="Calibri" w:eastAsia="Times New Roman" w:hAnsi="Calibri" w:cs="Calibri"/>
                <w:b/>
                <w:bCs/>
                <w:sz w:val="20"/>
                <w:szCs w:val="20"/>
                <w:lang w:eastAsia="en-GB"/>
              </w:rPr>
            </w:pPr>
            <w:r>
              <w:rPr>
                <w:rFonts w:ascii="Calibri" w:eastAsia="Times New Roman" w:hAnsi="Calibri" w:cs="Calibri"/>
                <w:b/>
                <w:bCs/>
                <w:sz w:val="20"/>
                <w:szCs w:val="20"/>
                <w:lang w:eastAsia="en-GB"/>
              </w:rPr>
              <w:t xml:space="preserve">Sub </w:t>
            </w:r>
            <w:r w:rsidRPr="0069400E">
              <w:rPr>
                <w:rFonts w:ascii="Calibri" w:eastAsia="Times New Roman" w:hAnsi="Calibri" w:cs="Calibri"/>
                <w:b/>
                <w:bCs/>
                <w:sz w:val="20"/>
                <w:szCs w:val="20"/>
                <w:lang w:eastAsia="en-GB"/>
              </w:rPr>
              <w:t>Total System Operational Capital</w:t>
            </w:r>
          </w:p>
        </w:tc>
        <w:tc>
          <w:tcPr>
            <w:tcW w:w="817" w:type="dxa"/>
            <w:tcBorders>
              <w:top w:val="nil"/>
              <w:left w:val="nil"/>
              <w:bottom w:val="single" w:sz="8" w:space="0" w:color="auto"/>
              <w:right w:val="single" w:sz="4" w:space="0" w:color="auto"/>
            </w:tcBorders>
            <w:shd w:val="clear" w:color="000000" w:fill="D9D9D9"/>
            <w:noWrap/>
            <w:vAlign w:val="center"/>
            <w:hideMark/>
          </w:tcPr>
          <w:p w14:paraId="7D39C7D0" w14:textId="77777777" w:rsidR="0069400E" w:rsidRPr="0069400E" w:rsidRDefault="0069400E" w:rsidP="0069400E">
            <w:pPr>
              <w:spacing w:after="0" w:line="240" w:lineRule="auto"/>
              <w:jc w:val="right"/>
              <w:rPr>
                <w:rFonts w:ascii="Calibri" w:eastAsia="Times New Roman" w:hAnsi="Calibri" w:cs="Calibri"/>
                <w:b/>
                <w:bCs/>
                <w:sz w:val="20"/>
                <w:szCs w:val="20"/>
                <w:lang w:eastAsia="en-GB"/>
              </w:rPr>
            </w:pPr>
            <w:r w:rsidRPr="0069400E">
              <w:rPr>
                <w:rFonts w:ascii="Calibri" w:eastAsia="Times New Roman" w:hAnsi="Calibri" w:cs="Calibri"/>
                <w:b/>
                <w:bCs/>
                <w:sz w:val="20"/>
                <w:szCs w:val="20"/>
                <w:lang w:eastAsia="en-GB"/>
              </w:rPr>
              <w:t>4.6</w:t>
            </w:r>
          </w:p>
        </w:tc>
        <w:tc>
          <w:tcPr>
            <w:tcW w:w="693" w:type="dxa"/>
            <w:tcBorders>
              <w:top w:val="nil"/>
              <w:left w:val="single" w:sz="8" w:space="0" w:color="auto"/>
              <w:bottom w:val="single" w:sz="8" w:space="0" w:color="auto"/>
              <w:right w:val="single" w:sz="4" w:space="0" w:color="auto"/>
            </w:tcBorders>
            <w:shd w:val="clear" w:color="000000" w:fill="D9D9D9"/>
            <w:noWrap/>
            <w:vAlign w:val="center"/>
            <w:hideMark/>
          </w:tcPr>
          <w:p w14:paraId="2CB35FB0" w14:textId="77777777" w:rsidR="0069400E" w:rsidRPr="0069400E" w:rsidRDefault="0069400E" w:rsidP="0069400E">
            <w:pPr>
              <w:spacing w:after="0" w:line="240" w:lineRule="auto"/>
              <w:jc w:val="right"/>
              <w:rPr>
                <w:rFonts w:ascii="Calibri" w:eastAsia="Times New Roman" w:hAnsi="Calibri" w:cs="Calibri"/>
                <w:b/>
                <w:bCs/>
                <w:sz w:val="20"/>
                <w:szCs w:val="20"/>
                <w:lang w:eastAsia="en-GB"/>
              </w:rPr>
            </w:pPr>
            <w:r w:rsidRPr="0069400E">
              <w:rPr>
                <w:rFonts w:ascii="Calibri" w:eastAsia="Times New Roman" w:hAnsi="Calibri" w:cs="Calibri"/>
                <w:b/>
                <w:bCs/>
                <w:sz w:val="20"/>
                <w:szCs w:val="20"/>
                <w:lang w:eastAsia="en-GB"/>
              </w:rPr>
              <w:t>57.6</w:t>
            </w:r>
          </w:p>
        </w:tc>
        <w:tc>
          <w:tcPr>
            <w:tcW w:w="809" w:type="dxa"/>
            <w:tcBorders>
              <w:top w:val="nil"/>
              <w:left w:val="single" w:sz="8" w:space="0" w:color="auto"/>
              <w:bottom w:val="single" w:sz="8" w:space="0" w:color="auto"/>
              <w:right w:val="single" w:sz="4" w:space="0" w:color="auto"/>
            </w:tcBorders>
            <w:shd w:val="clear" w:color="000000" w:fill="D9D9D9"/>
            <w:noWrap/>
            <w:vAlign w:val="center"/>
            <w:hideMark/>
          </w:tcPr>
          <w:p w14:paraId="786AB6C7" w14:textId="77777777" w:rsidR="0069400E" w:rsidRPr="0069400E" w:rsidRDefault="0069400E" w:rsidP="0069400E">
            <w:pPr>
              <w:spacing w:after="0" w:line="240" w:lineRule="auto"/>
              <w:jc w:val="right"/>
              <w:rPr>
                <w:rFonts w:ascii="Calibri" w:eastAsia="Times New Roman" w:hAnsi="Calibri" w:cs="Calibri"/>
                <w:b/>
                <w:bCs/>
                <w:sz w:val="20"/>
                <w:szCs w:val="20"/>
                <w:lang w:eastAsia="en-GB"/>
              </w:rPr>
            </w:pPr>
            <w:r w:rsidRPr="0069400E">
              <w:rPr>
                <w:rFonts w:ascii="Calibri" w:eastAsia="Times New Roman" w:hAnsi="Calibri" w:cs="Calibri"/>
                <w:b/>
                <w:bCs/>
                <w:sz w:val="20"/>
                <w:szCs w:val="20"/>
                <w:lang w:eastAsia="en-GB"/>
              </w:rPr>
              <w:t>15.5</w:t>
            </w:r>
          </w:p>
        </w:tc>
        <w:tc>
          <w:tcPr>
            <w:tcW w:w="807" w:type="dxa"/>
            <w:tcBorders>
              <w:top w:val="nil"/>
              <w:left w:val="single" w:sz="8" w:space="0" w:color="auto"/>
              <w:bottom w:val="single" w:sz="8" w:space="0" w:color="auto"/>
              <w:right w:val="single" w:sz="4" w:space="0" w:color="auto"/>
            </w:tcBorders>
            <w:shd w:val="clear" w:color="000000" w:fill="D9D9D9"/>
            <w:noWrap/>
            <w:vAlign w:val="center"/>
            <w:hideMark/>
          </w:tcPr>
          <w:p w14:paraId="30F2FA50" w14:textId="77777777" w:rsidR="0069400E" w:rsidRPr="0069400E" w:rsidRDefault="0069400E" w:rsidP="0069400E">
            <w:pPr>
              <w:spacing w:after="0" w:line="240" w:lineRule="auto"/>
              <w:jc w:val="right"/>
              <w:rPr>
                <w:rFonts w:ascii="Calibri" w:eastAsia="Times New Roman" w:hAnsi="Calibri" w:cs="Calibri"/>
                <w:b/>
                <w:bCs/>
                <w:sz w:val="20"/>
                <w:szCs w:val="20"/>
                <w:lang w:eastAsia="en-GB"/>
              </w:rPr>
            </w:pPr>
            <w:r w:rsidRPr="0069400E">
              <w:rPr>
                <w:rFonts w:ascii="Calibri" w:eastAsia="Times New Roman" w:hAnsi="Calibri" w:cs="Calibri"/>
                <w:b/>
                <w:bCs/>
                <w:sz w:val="20"/>
                <w:szCs w:val="20"/>
                <w:lang w:eastAsia="en-GB"/>
              </w:rPr>
              <w:t>13.5</w:t>
            </w:r>
          </w:p>
        </w:tc>
        <w:tc>
          <w:tcPr>
            <w:tcW w:w="943" w:type="dxa"/>
            <w:tcBorders>
              <w:top w:val="single" w:sz="8" w:space="0" w:color="auto"/>
              <w:left w:val="single" w:sz="8" w:space="0" w:color="auto"/>
              <w:bottom w:val="single" w:sz="8" w:space="0" w:color="auto"/>
              <w:right w:val="single" w:sz="4" w:space="0" w:color="auto"/>
            </w:tcBorders>
            <w:shd w:val="clear" w:color="000000" w:fill="D9D9D9"/>
            <w:noWrap/>
            <w:vAlign w:val="center"/>
            <w:hideMark/>
          </w:tcPr>
          <w:p w14:paraId="74799904" w14:textId="77777777" w:rsidR="0069400E" w:rsidRPr="0069400E" w:rsidRDefault="0069400E" w:rsidP="0069400E">
            <w:pPr>
              <w:spacing w:after="0" w:line="240" w:lineRule="auto"/>
              <w:jc w:val="right"/>
              <w:rPr>
                <w:rFonts w:ascii="Calibri" w:eastAsia="Times New Roman" w:hAnsi="Calibri" w:cs="Calibri"/>
                <w:b/>
                <w:bCs/>
                <w:sz w:val="20"/>
                <w:szCs w:val="20"/>
                <w:lang w:eastAsia="en-GB"/>
              </w:rPr>
            </w:pPr>
            <w:r w:rsidRPr="0069400E">
              <w:rPr>
                <w:rFonts w:ascii="Calibri" w:eastAsia="Times New Roman" w:hAnsi="Calibri" w:cs="Calibri"/>
                <w:b/>
                <w:bCs/>
                <w:sz w:val="20"/>
                <w:szCs w:val="20"/>
                <w:lang w:eastAsia="en-GB"/>
              </w:rPr>
              <w:t>91.3</w:t>
            </w:r>
          </w:p>
        </w:tc>
        <w:tc>
          <w:tcPr>
            <w:tcW w:w="6428" w:type="dxa"/>
            <w:tcBorders>
              <w:top w:val="nil"/>
              <w:left w:val="single" w:sz="8" w:space="0" w:color="auto"/>
              <w:bottom w:val="single" w:sz="8" w:space="0" w:color="auto"/>
              <w:right w:val="single" w:sz="8" w:space="0" w:color="auto"/>
            </w:tcBorders>
            <w:shd w:val="clear" w:color="000000" w:fill="D9D9D9"/>
            <w:noWrap/>
            <w:vAlign w:val="center"/>
            <w:hideMark/>
          </w:tcPr>
          <w:p w14:paraId="77F01301" w14:textId="77777777" w:rsidR="0069400E" w:rsidRPr="0069400E" w:rsidRDefault="0069400E" w:rsidP="0069400E">
            <w:pPr>
              <w:spacing w:after="0" w:line="240" w:lineRule="auto"/>
              <w:rPr>
                <w:rFonts w:ascii="Calibri" w:eastAsia="Times New Roman" w:hAnsi="Calibri" w:cs="Calibri"/>
                <w:b/>
                <w:bCs/>
                <w:sz w:val="20"/>
                <w:szCs w:val="20"/>
                <w:lang w:eastAsia="en-GB"/>
              </w:rPr>
            </w:pPr>
            <w:r w:rsidRPr="0069400E">
              <w:rPr>
                <w:rFonts w:ascii="Calibri" w:eastAsia="Times New Roman" w:hAnsi="Calibri" w:cs="Calibri"/>
                <w:b/>
                <w:bCs/>
                <w:sz w:val="20"/>
                <w:szCs w:val="20"/>
                <w:lang w:eastAsia="en-GB"/>
              </w:rPr>
              <w:t> </w:t>
            </w:r>
          </w:p>
        </w:tc>
      </w:tr>
      <w:tr w:rsidR="0069400E" w:rsidRPr="0069400E" w14:paraId="66E7E829" w14:textId="77777777" w:rsidTr="00960987">
        <w:trPr>
          <w:trHeight w:val="470"/>
        </w:trPr>
        <w:tc>
          <w:tcPr>
            <w:tcW w:w="2127" w:type="dxa"/>
            <w:tcBorders>
              <w:top w:val="nil"/>
              <w:left w:val="single" w:sz="8" w:space="0" w:color="auto"/>
              <w:bottom w:val="single" w:sz="4" w:space="0" w:color="auto"/>
              <w:right w:val="single" w:sz="8" w:space="0" w:color="auto"/>
            </w:tcBorders>
            <w:shd w:val="clear" w:color="auto" w:fill="auto"/>
            <w:vAlign w:val="center"/>
            <w:hideMark/>
          </w:tcPr>
          <w:p w14:paraId="445D71B5" w14:textId="77777777" w:rsidR="0069400E" w:rsidRPr="0069400E" w:rsidRDefault="0069400E" w:rsidP="0069400E">
            <w:pPr>
              <w:spacing w:after="0" w:line="240" w:lineRule="auto"/>
              <w:rPr>
                <w:rFonts w:ascii="Calibri" w:eastAsia="Times New Roman" w:hAnsi="Calibri" w:cs="Calibri"/>
                <w:sz w:val="20"/>
                <w:szCs w:val="20"/>
                <w:lang w:eastAsia="en-GB"/>
              </w:rPr>
            </w:pPr>
            <w:r w:rsidRPr="0069400E">
              <w:rPr>
                <w:rFonts w:ascii="Calibri" w:eastAsia="Times New Roman" w:hAnsi="Calibri" w:cs="Calibri"/>
                <w:sz w:val="20"/>
                <w:szCs w:val="20"/>
                <w:lang w:eastAsia="en-GB"/>
              </w:rPr>
              <w:t>Pending approval following NHSE panel</w:t>
            </w:r>
          </w:p>
        </w:tc>
        <w:tc>
          <w:tcPr>
            <w:tcW w:w="3536" w:type="dxa"/>
            <w:tcBorders>
              <w:top w:val="nil"/>
              <w:left w:val="nil"/>
              <w:bottom w:val="single" w:sz="4" w:space="0" w:color="auto"/>
              <w:right w:val="single" w:sz="8" w:space="0" w:color="auto"/>
            </w:tcBorders>
            <w:shd w:val="clear" w:color="auto" w:fill="auto"/>
            <w:noWrap/>
            <w:vAlign w:val="center"/>
            <w:hideMark/>
          </w:tcPr>
          <w:p w14:paraId="4FE00325" w14:textId="77777777" w:rsidR="0069400E" w:rsidRPr="0069400E" w:rsidRDefault="0069400E" w:rsidP="0069400E">
            <w:pPr>
              <w:spacing w:after="0" w:line="240" w:lineRule="auto"/>
              <w:rPr>
                <w:rFonts w:ascii="Calibri" w:eastAsia="Times New Roman" w:hAnsi="Calibri" w:cs="Calibri"/>
                <w:sz w:val="20"/>
                <w:szCs w:val="20"/>
                <w:lang w:eastAsia="en-GB"/>
              </w:rPr>
            </w:pPr>
            <w:r w:rsidRPr="0069400E">
              <w:rPr>
                <w:rFonts w:ascii="Calibri" w:eastAsia="Times New Roman" w:hAnsi="Calibri" w:cs="Calibri"/>
                <w:sz w:val="20"/>
                <w:szCs w:val="20"/>
                <w:lang w:eastAsia="en-GB"/>
              </w:rPr>
              <w:t>Critical Infrastructure Risk (estates safety)</w:t>
            </w:r>
          </w:p>
        </w:tc>
        <w:tc>
          <w:tcPr>
            <w:tcW w:w="817" w:type="dxa"/>
            <w:tcBorders>
              <w:top w:val="nil"/>
              <w:left w:val="nil"/>
              <w:bottom w:val="single" w:sz="4" w:space="0" w:color="auto"/>
              <w:right w:val="single" w:sz="4" w:space="0" w:color="auto"/>
            </w:tcBorders>
            <w:shd w:val="clear" w:color="auto" w:fill="auto"/>
            <w:vAlign w:val="center"/>
            <w:hideMark/>
          </w:tcPr>
          <w:p w14:paraId="5FE58CD7" w14:textId="77777777" w:rsidR="0069400E" w:rsidRPr="0069400E" w:rsidRDefault="0069400E" w:rsidP="0069400E">
            <w:pPr>
              <w:spacing w:after="0" w:line="240" w:lineRule="auto"/>
              <w:rPr>
                <w:rFonts w:ascii="Calibri" w:eastAsia="Times New Roman" w:hAnsi="Calibri" w:cs="Calibri"/>
                <w:sz w:val="20"/>
                <w:szCs w:val="20"/>
                <w:lang w:eastAsia="en-GB"/>
              </w:rPr>
            </w:pPr>
            <w:r w:rsidRPr="0069400E">
              <w:rPr>
                <w:rFonts w:ascii="Calibri" w:eastAsia="Times New Roman" w:hAnsi="Calibri" w:cs="Calibri"/>
                <w:sz w:val="20"/>
                <w:szCs w:val="20"/>
                <w:lang w:eastAsia="en-GB"/>
              </w:rPr>
              <w:t> </w:t>
            </w:r>
          </w:p>
        </w:tc>
        <w:tc>
          <w:tcPr>
            <w:tcW w:w="693" w:type="dxa"/>
            <w:tcBorders>
              <w:top w:val="nil"/>
              <w:left w:val="nil"/>
              <w:bottom w:val="single" w:sz="4" w:space="0" w:color="auto"/>
              <w:right w:val="single" w:sz="4" w:space="0" w:color="auto"/>
            </w:tcBorders>
            <w:shd w:val="clear" w:color="auto" w:fill="auto"/>
            <w:vAlign w:val="center"/>
            <w:hideMark/>
          </w:tcPr>
          <w:p w14:paraId="0458EB40" w14:textId="77777777" w:rsidR="0069400E" w:rsidRPr="0069400E" w:rsidRDefault="0069400E" w:rsidP="0069400E">
            <w:pPr>
              <w:spacing w:after="0" w:line="240" w:lineRule="auto"/>
              <w:jc w:val="right"/>
              <w:rPr>
                <w:rFonts w:ascii="Calibri" w:eastAsia="Times New Roman" w:hAnsi="Calibri" w:cs="Calibri"/>
                <w:sz w:val="20"/>
                <w:szCs w:val="20"/>
                <w:lang w:eastAsia="en-GB"/>
              </w:rPr>
            </w:pPr>
            <w:r w:rsidRPr="0069400E">
              <w:rPr>
                <w:rFonts w:ascii="Calibri" w:eastAsia="Times New Roman" w:hAnsi="Calibri" w:cs="Calibri"/>
                <w:sz w:val="20"/>
                <w:szCs w:val="20"/>
                <w:lang w:eastAsia="en-GB"/>
              </w:rPr>
              <w:t>12.7</w:t>
            </w:r>
          </w:p>
        </w:tc>
        <w:tc>
          <w:tcPr>
            <w:tcW w:w="809" w:type="dxa"/>
            <w:tcBorders>
              <w:top w:val="nil"/>
              <w:left w:val="nil"/>
              <w:bottom w:val="single" w:sz="4" w:space="0" w:color="auto"/>
              <w:right w:val="single" w:sz="4" w:space="0" w:color="auto"/>
            </w:tcBorders>
            <w:shd w:val="clear" w:color="auto" w:fill="auto"/>
            <w:vAlign w:val="center"/>
            <w:hideMark/>
          </w:tcPr>
          <w:p w14:paraId="6245B33D" w14:textId="77777777" w:rsidR="0069400E" w:rsidRPr="0069400E" w:rsidRDefault="0069400E" w:rsidP="0069400E">
            <w:pPr>
              <w:spacing w:after="0" w:line="240" w:lineRule="auto"/>
              <w:jc w:val="right"/>
              <w:rPr>
                <w:rFonts w:ascii="Calibri" w:eastAsia="Times New Roman" w:hAnsi="Calibri" w:cs="Calibri"/>
                <w:sz w:val="20"/>
                <w:szCs w:val="20"/>
                <w:lang w:eastAsia="en-GB"/>
              </w:rPr>
            </w:pPr>
            <w:r w:rsidRPr="0069400E">
              <w:rPr>
                <w:rFonts w:ascii="Calibri" w:eastAsia="Times New Roman" w:hAnsi="Calibri" w:cs="Calibri"/>
                <w:sz w:val="20"/>
                <w:szCs w:val="20"/>
                <w:lang w:eastAsia="en-GB"/>
              </w:rPr>
              <w:t>0.9</w:t>
            </w:r>
          </w:p>
        </w:tc>
        <w:tc>
          <w:tcPr>
            <w:tcW w:w="807" w:type="dxa"/>
            <w:tcBorders>
              <w:top w:val="nil"/>
              <w:left w:val="nil"/>
              <w:bottom w:val="single" w:sz="4" w:space="0" w:color="auto"/>
              <w:right w:val="single" w:sz="8" w:space="0" w:color="auto"/>
            </w:tcBorders>
            <w:shd w:val="clear" w:color="auto" w:fill="auto"/>
            <w:vAlign w:val="center"/>
            <w:hideMark/>
          </w:tcPr>
          <w:p w14:paraId="26FA25D2" w14:textId="77777777" w:rsidR="0069400E" w:rsidRPr="0069400E" w:rsidRDefault="0069400E" w:rsidP="0069400E">
            <w:pPr>
              <w:spacing w:after="0" w:line="240" w:lineRule="auto"/>
              <w:jc w:val="right"/>
              <w:rPr>
                <w:rFonts w:ascii="Calibri" w:eastAsia="Times New Roman" w:hAnsi="Calibri" w:cs="Calibri"/>
                <w:sz w:val="20"/>
                <w:szCs w:val="20"/>
                <w:lang w:eastAsia="en-GB"/>
              </w:rPr>
            </w:pPr>
            <w:r w:rsidRPr="0069400E">
              <w:rPr>
                <w:rFonts w:ascii="Calibri" w:eastAsia="Times New Roman" w:hAnsi="Calibri" w:cs="Calibri"/>
                <w:sz w:val="20"/>
                <w:szCs w:val="20"/>
                <w:lang w:eastAsia="en-GB"/>
              </w:rPr>
              <w:t>2.6</w:t>
            </w:r>
          </w:p>
        </w:tc>
        <w:tc>
          <w:tcPr>
            <w:tcW w:w="943" w:type="dxa"/>
            <w:tcBorders>
              <w:top w:val="nil"/>
              <w:left w:val="nil"/>
              <w:bottom w:val="nil"/>
              <w:right w:val="single" w:sz="8" w:space="0" w:color="auto"/>
            </w:tcBorders>
            <w:shd w:val="clear" w:color="000000" w:fill="D9D9D9"/>
            <w:noWrap/>
            <w:vAlign w:val="center"/>
            <w:hideMark/>
          </w:tcPr>
          <w:p w14:paraId="6589AA06" w14:textId="77777777" w:rsidR="0069400E" w:rsidRPr="0069400E" w:rsidRDefault="0069400E" w:rsidP="0069400E">
            <w:pPr>
              <w:spacing w:after="0" w:line="240" w:lineRule="auto"/>
              <w:jc w:val="right"/>
              <w:rPr>
                <w:rFonts w:ascii="Calibri" w:eastAsia="Times New Roman" w:hAnsi="Calibri" w:cs="Calibri"/>
                <w:b/>
                <w:bCs/>
                <w:sz w:val="20"/>
                <w:szCs w:val="20"/>
                <w:lang w:eastAsia="en-GB"/>
              </w:rPr>
            </w:pPr>
            <w:r w:rsidRPr="0069400E">
              <w:rPr>
                <w:rFonts w:ascii="Calibri" w:eastAsia="Times New Roman" w:hAnsi="Calibri" w:cs="Calibri"/>
                <w:b/>
                <w:bCs/>
                <w:sz w:val="20"/>
                <w:szCs w:val="20"/>
                <w:lang w:eastAsia="en-GB"/>
              </w:rPr>
              <w:t>16.1</w:t>
            </w:r>
          </w:p>
        </w:tc>
        <w:tc>
          <w:tcPr>
            <w:tcW w:w="6428" w:type="dxa"/>
            <w:tcBorders>
              <w:top w:val="nil"/>
              <w:left w:val="nil"/>
              <w:bottom w:val="single" w:sz="4" w:space="0" w:color="auto"/>
              <w:right w:val="single" w:sz="8" w:space="0" w:color="auto"/>
            </w:tcBorders>
            <w:shd w:val="clear" w:color="auto" w:fill="auto"/>
            <w:vAlign w:val="bottom"/>
            <w:hideMark/>
          </w:tcPr>
          <w:p w14:paraId="6D4CA5FB" w14:textId="77777777" w:rsidR="0069400E" w:rsidRPr="0069400E" w:rsidRDefault="0069400E" w:rsidP="0069400E">
            <w:pPr>
              <w:spacing w:after="0" w:line="240" w:lineRule="auto"/>
              <w:rPr>
                <w:rFonts w:ascii="Aptos Narrow" w:eastAsia="Times New Roman" w:hAnsi="Aptos Narrow" w:cs="Times New Roman"/>
                <w:color w:val="000000"/>
                <w:sz w:val="20"/>
                <w:szCs w:val="20"/>
                <w:lang w:eastAsia="en-GB"/>
              </w:rPr>
            </w:pPr>
            <w:r w:rsidRPr="0069400E">
              <w:rPr>
                <w:rFonts w:ascii="Aptos Narrow" w:eastAsia="Times New Roman" w:hAnsi="Aptos Narrow" w:cs="Times New Roman"/>
                <w:color w:val="000000"/>
                <w:sz w:val="20"/>
                <w:szCs w:val="20"/>
                <w:lang w:eastAsia="en-GB"/>
              </w:rPr>
              <w:t>This funding is intended to mitigate critical infrastructure and safety risks, addressing the poorest quality estates and ensuring a safe, sustainable environment for healthcare delivery.</w:t>
            </w:r>
          </w:p>
        </w:tc>
      </w:tr>
      <w:tr w:rsidR="0069400E" w:rsidRPr="0069400E" w14:paraId="13397507" w14:textId="77777777" w:rsidTr="00960987">
        <w:trPr>
          <w:trHeight w:val="508"/>
        </w:trPr>
        <w:tc>
          <w:tcPr>
            <w:tcW w:w="2127" w:type="dxa"/>
            <w:tcBorders>
              <w:top w:val="nil"/>
              <w:left w:val="single" w:sz="8" w:space="0" w:color="auto"/>
              <w:bottom w:val="single" w:sz="4" w:space="0" w:color="auto"/>
              <w:right w:val="single" w:sz="8" w:space="0" w:color="auto"/>
            </w:tcBorders>
            <w:shd w:val="clear" w:color="auto" w:fill="auto"/>
            <w:vAlign w:val="bottom"/>
            <w:hideMark/>
          </w:tcPr>
          <w:p w14:paraId="01A5DF79" w14:textId="77777777" w:rsidR="0069400E" w:rsidRPr="0069400E" w:rsidRDefault="0069400E" w:rsidP="0069400E">
            <w:pPr>
              <w:spacing w:after="0" w:line="240" w:lineRule="auto"/>
              <w:rPr>
                <w:rFonts w:ascii="Aptos Narrow" w:eastAsia="Times New Roman" w:hAnsi="Aptos Narrow" w:cs="Times New Roman"/>
                <w:sz w:val="20"/>
                <w:szCs w:val="20"/>
                <w:lang w:eastAsia="en-GB"/>
              </w:rPr>
            </w:pPr>
            <w:r w:rsidRPr="0069400E">
              <w:rPr>
                <w:rFonts w:ascii="Aptos Narrow" w:eastAsia="Times New Roman" w:hAnsi="Aptos Narrow" w:cs="Times New Roman"/>
                <w:sz w:val="20"/>
                <w:szCs w:val="20"/>
                <w:lang w:eastAsia="en-GB"/>
              </w:rPr>
              <w:t>Confirmed/awaiting MOU</w:t>
            </w:r>
          </w:p>
        </w:tc>
        <w:tc>
          <w:tcPr>
            <w:tcW w:w="3536" w:type="dxa"/>
            <w:tcBorders>
              <w:top w:val="nil"/>
              <w:left w:val="nil"/>
              <w:bottom w:val="single" w:sz="4" w:space="0" w:color="auto"/>
              <w:right w:val="single" w:sz="8" w:space="0" w:color="auto"/>
            </w:tcBorders>
            <w:shd w:val="clear" w:color="auto" w:fill="auto"/>
            <w:noWrap/>
            <w:vAlign w:val="center"/>
            <w:hideMark/>
          </w:tcPr>
          <w:p w14:paraId="537ACEC4" w14:textId="77777777" w:rsidR="0069400E" w:rsidRPr="0069400E" w:rsidRDefault="0069400E" w:rsidP="0069400E">
            <w:pPr>
              <w:spacing w:after="0" w:line="240" w:lineRule="auto"/>
              <w:rPr>
                <w:rFonts w:ascii="Calibri" w:eastAsia="Times New Roman" w:hAnsi="Calibri" w:cs="Calibri"/>
                <w:sz w:val="20"/>
                <w:szCs w:val="20"/>
                <w:lang w:eastAsia="en-GB"/>
              </w:rPr>
            </w:pPr>
            <w:r w:rsidRPr="0069400E">
              <w:rPr>
                <w:rFonts w:ascii="Calibri" w:eastAsia="Times New Roman" w:hAnsi="Calibri" w:cs="Calibri"/>
                <w:sz w:val="20"/>
                <w:szCs w:val="20"/>
                <w:lang w:eastAsia="en-GB"/>
              </w:rPr>
              <w:t>Critical Infrastructure Risk (Sub-metering funding)</w:t>
            </w:r>
          </w:p>
        </w:tc>
        <w:tc>
          <w:tcPr>
            <w:tcW w:w="817" w:type="dxa"/>
            <w:tcBorders>
              <w:top w:val="single" w:sz="4" w:space="0" w:color="auto"/>
              <w:left w:val="nil"/>
              <w:bottom w:val="single" w:sz="4" w:space="0" w:color="auto"/>
              <w:right w:val="single" w:sz="4" w:space="0" w:color="auto"/>
            </w:tcBorders>
            <w:shd w:val="clear" w:color="auto" w:fill="auto"/>
            <w:vAlign w:val="center"/>
            <w:hideMark/>
          </w:tcPr>
          <w:p w14:paraId="295B1CAF" w14:textId="77777777" w:rsidR="0069400E" w:rsidRPr="0069400E" w:rsidRDefault="0069400E" w:rsidP="0069400E">
            <w:pPr>
              <w:spacing w:after="0" w:line="240" w:lineRule="auto"/>
              <w:rPr>
                <w:rFonts w:ascii="Calibri" w:eastAsia="Times New Roman" w:hAnsi="Calibri" w:cs="Calibri"/>
                <w:sz w:val="20"/>
                <w:szCs w:val="20"/>
                <w:lang w:eastAsia="en-GB"/>
              </w:rPr>
            </w:pPr>
            <w:r w:rsidRPr="0069400E">
              <w:rPr>
                <w:rFonts w:ascii="Calibri" w:eastAsia="Times New Roman" w:hAnsi="Calibri" w:cs="Calibri"/>
                <w:sz w:val="20"/>
                <w:szCs w:val="20"/>
                <w:lang w:eastAsia="en-GB"/>
              </w:rPr>
              <w:t> </w:t>
            </w:r>
          </w:p>
        </w:tc>
        <w:tc>
          <w:tcPr>
            <w:tcW w:w="693" w:type="dxa"/>
            <w:tcBorders>
              <w:top w:val="single" w:sz="4" w:space="0" w:color="auto"/>
              <w:left w:val="nil"/>
              <w:bottom w:val="single" w:sz="4" w:space="0" w:color="auto"/>
              <w:right w:val="single" w:sz="4" w:space="0" w:color="auto"/>
            </w:tcBorders>
            <w:shd w:val="clear" w:color="auto" w:fill="auto"/>
            <w:vAlign w:val="center"/>
            <w:hideMark/>
          </w:tcPr>
          <w:p w14:paraId="27681E99" w14:textId="77777777" w:rsidR="0069400E" w:rsidRPr="0069400E" w:rsidRDefault="0069400E" w:rsidP="0069400E">
            <w:pPr>
              <w:spacing w:after="0" w:line="240" w:lineRule="auto"/>
              <w:jc w:val="right"/>
              <w:rPr>
                <w:rFonts w:ascii="Calibri" w:eastAsia="Times New Roman" w:hAnsi="Calibri" w:cs="Calibri"/>
                <w:sz w:val="20"/>
                <w:szCs w:val="20"/>
                <w:lang w:eastAsia="en-GB"/>
              </w:rPr>
            </w:pPr>
            <w:r w:rsidRPr="0069400E">
              <w:rPr>
                <w:rFonts w:ascii="Calibri" w:eastAsia="Times New Roman" w:hAnsi="Calibri" w:cs="Calibri"/>
                <w:sz w:val="20"/>
                <w:szCs w:val="20"/>
                <w:lang w:eastAsia="en-GB"/>
              </w:rPr>
              <w:t> </w:t>
            </w:r>
          </w:p>
        </w:tc>
        <w:tc>
          <w:tcPr>
            <w:tcW w:w="809" w:type="dxa"/>
            <w:tcBorders>
              <w:top w:val="single" w:sz="4" w:space="0" w:color="auto"/>
              <w:left w:val="nil"/>
              <w:bottom w:val="single" w:sz="4" w:space="0" w:color="auto"/>
              <w:right w:val="single" w:sz="4" w:space="0" w:color="auto"/>
            </w:tcBorders>
            <w:shd w:val="clear" w:color="auto" w:fill="auto"/>
            <w:vAlign w:val="center"/>
            <w:hideMark/>
          </w:tcPr>
          <w:p w14:paraId="606A8FD3" w14:textId="77777777" w:rsidR="0069400E" w:rsidRPr="0069400E" w:rsidRDefault="0069400E" w:rsidP="0069400E">
            <w:pPr>
              <w:spacing w:after="0" w:line="240" w:lineRule="auto"/>
              <w:jc w:val="right"/>
              <w:rPr>
                <w:rFonts w:ascii="Calibri" w:eastAsia="Times New Roman" w:hAnsi="Calibri" w:cs="Calibri"/>
                <w:sz w:val="20"/>
                <w:szCs w:val="20"/>
                <w:lang w:eastAsia="en-GB"/>
              </w:rPr>
            </w:pPr>
            <w:r w:rsidRPr="0069400E">
              <w:rPr>
                <w:rFonts w:ascii="Calibri" w:eastAsia="Times New Roman" w:hAnsi="Calibri" w:cs="Calibri"/>
                <w:sz w:val="20"/>
                <w:szCs w:val="20"/>
                <w:lang w:eastAsia="en-GB"/>
              </w:rPr>
              <w:t>0.1</w:t>
            </w:r>
          </w:p>
        </w:tc>
        <w:tc>
          <w:tcPr>
            <w:tcW w:w="807" w:type="dxa"/>
            <w:tcBorders>
              <w:top w:val="single" w:sz="4" w:space="0" w:color="auto"/>
              <w:left w:val="nil"/>
              <w:bottom w:val="single" w:sz="4" w:space="0" w:color="auto"/>
              <w:right w:val="single" w:sz="8" w:space="0" w:color="auto"/>
            </w:tcBorders>
            <w:shd w:val="clear" w:color="auto" w:fill="auto"/>
            <w:vAlign w:val="center"/>
            <w:hideMark/>
          </w:tcPr>
          <w:p w14:paraId="731C6CFD" w14:textId="77777777" w:rsidR="0069400E" w:rsidRPr="0069400E" w:rsidRDefault="0069400E" w:rsidP="0069400E">
            <w:pPr>
              <w:spacing w:after="0" w:line="240" w:lineRule="auto"/>
              <w:jc w:val="right"/>
              <w:rPr>
                <w:rFonts w:ascii="Calibri" w:eastAsia="Times New Roman" w:hAnsi="Calibri" w:cs="Calibri"/>
                <w:sz w:val="20"/>
                <w:szCs w:val="20"/>
                <w:lang w:eastAsia="en-GB"/>
              </w:rPr>
            </w:pPr>
            <w:r w:rsidRPr="0069400E">
              <w:rPr>
                <w:rFonts w:ascii="Calibri" w:eastAsia="Times New Roman" w:hAnsi="Calibri" w:cs="Calibri"/>
                <w:sz w:val="20"/>
                <w:szCs w:val="20"/>
                <w:lang w:eastAsia="en-GB"/>
              </w:rPr>
              <w:t> </w:t>
            </w:r>
          </w:p>
        </w:tc>
        <w:tc>
          <w:tcPr>
            <w:tcW w:w="943" w:type="dxa"/>
            <w:tcBorders>
              <w:top w:val="nil"/>
              <w:left w:val="nil"/>
              <w:bottom w:val="nil"/>
              <w:right w:val="single" w:sz="8" w:space="0" w:color="auto"/>
            </w:tcBorders>
            <w:shd w:val="clear" w:color="000000" w:fill="D9D9D9"/>
            <w:noWrap/>
            <w:vAlign w:val="center"/>
            <w:hideMark/>
          </w:tcPr>
          <w:p w14:paraId="248E0FDC" w14:textId="77777777" w:rsidR="0069400E" w:rsidRPr="0069400E" w:rsidRDefault="0069400E" w:rsidP="0069400E">
            <w:pPr>
              <w:spacing w:after="0" w:line="240" w:lineRule="auto"/>
              <w:jc w:val="right"/>
              <w:rPr>
                <w:rFonts w:ascii="Calibri" w:eastAsia="Times New Roman" w:hAnsi="Calibri" w:cs="Calibri"/>
                <w:b/>
                <w:bCs/>
                <w:sz w:val="20"/>
                <w:szCs w:val="20"/>
                <w:lang w:eastAsia="en-GB"/>
              </w:rPr>
            </w:pPr>
            <w:r w:rsidRPr="0069400E">
              <w:rPr>
                <w:rFonts w:ascii="Calibri" w:eastAsia="Times New Roman" w:hAnsi="Calibri" w:cs="Calibri"/>
                <w:b/>
                <w:bCs/>
                <w:sz w:val="20"/>
                <w:szCs w:val="20"/>
                <w:lang w:eastAsia="en-GB"/>
              </w:rPr>
              <w:t>0.1</w:t>
            </w:r>
          </w:p>
        </w:tc>
        <w:tc>
          <w:tcPr>
            <w:tcW w:w="6428" w:type="dxa"/>
            <w:tcBorders>
              <w:top w:val="nil"/>
              <w:left w:val="nil"/>
              <w:bottom w:val="single" w:sz="4" w:space="0" w:color="auto"/>
              <w:right w:val="single" w:sz="8" w:space="0" w:color="auto"/>
            </w:tcBorders>
            <w:shd w:val="clear" w:color="auto" w:fill="auto"/>
            <w:vAlign w:val="bottom"/>
            <w:hideMark/>
          </w:tcPr>
          <w:p w14:paraId="79033EC3" w14:textId="77777777" w:rsidR="0069400E" w:rsidRPr="0069400E" w:rsidRDefault="0069400E" w:rsidP="0069400E">
            <w:pPr>
              <w:spacing w:after="0" w:line="240" w:lineRule="auto"/>
              <w:rPr>
                <w:rFonts w:ascii="Aptos Narrow" w:eastAsia="Times New Roman" w:hAnsi="Aptos Narrow" w:cs="Times New Roman"/>
                <w:color w:val="000000"/>
                <w:sz w:val="20"/>
                <w:szCs w:val="20"/>
                <w:lang w:eastAsia="en-GB"/>
              </w:rPr>
            </w:pPr>
            <w:r w:rsidRPr="0069400E">
              <w:rPr>
                <w:rFonts w:ascii="Aptos Narrow" w:eastAsia="Times New Roman" w:hAnsi="Aptos Narrow" w:cs="Times New Roman"/>
                <w:color w:val="000000"/>
                <w:sz w:val="20"/>
                <w:szCs w:val="20"/>
                <w:lang w:eastAsia="en-GB"/>
              </w:rPr>
              <w:t>These plans relate to a sub-metering project as part of the Commercial Efficiencies Optimisation Programme (CEOP).</w:t>
            </w:r>
          </w:p>
        </w:tc>
      </w:tr>
      <w:tr w:rsidR="0069400E" w:rsidRPr="0069400E" w14:paraId="0C824650" w14:textId="77777777" w:rsidTr="00960987">
        <w:trPr>
          <w:trHeight w:val="287"/>
        </w:trPr>
        <w:tc>
          <w:tcPr>
            <w:tcW w:w="2127" w:type="dxa"/>
            <w:tcBorders>
              <w:top w:val="nil"/>
              <w:left w:val="single" w:sz="8" w:space="0" w:color="auto"/>
              <w:bottom w:val="single" w:sz="4" w:space="0" w:color="auto"/>
              <w:right w:val="single" w:sz="8" w:space="0" w:color="auto"/>
            </w:tcBorders>
            <w:shd w:val="clear" w:color="auto" w:fill="auto"/>
            <w:noWrap/>
            <w:vAlign w:val="center"/>
            <w:hideMark/>
          </w:tcPr>
          <w:p w14:paraId="69A569E0" w14:textId="77777777" w:rsidR="0069400E" w:rsidRPr="00A031CF" w:rsidRDefault="0069400E" w:rsidP="0069400E">
            <w:pPr>
              <w:spacing w:after="0" w:line="240" w:lineRule="auto"/>
              <w:rPr>
                <w:rFonts w:ascii="Calibri" w:eastAsia="Times New Roman" w:hAnsi="Calibri" w:cs="Calibri"/>
                <w:sz w:val="20"/>
                <w:szCs w:val="20"/>
                <w:lang w:eastAsia="en-GB"/>
              </w:rPr>
            </w:pPr>
            <w:r w:rsidRPr="00A031CF">
              <w:rPr>
                <w:rFonts w:ascii="Calibri" w:eastAsia="Times New Roman" w:hAnsi="Calibri" w:cs="Calibri"/>
                <w:sz w:val="20"/>
                <w:szCs w:val="20"/>
                <w:lang w:eastAsia="en-GB"/>
              </w:rPr>
              <w:t>Confirmed</w:t>
            </w:r>
          </w:p>
        </w:tc>
        <w:tc>
          <w:tcPr>
            <w:tcW w:w="3536" w:type="dxa"/>
            <w:tcBorders>
              <w:top w:val="nil"/>
              <w:left w:val="nil"/>
              <w:bottom w:val="single" w:sz="4" w:space="0" w:color="auto"/>
              <w:right w:val="single" w:sz="8" w:space="0" w:color="auto"/>
            </w:tcBorders>
            <w:shd w:val="clear" w:color="auto" w:fill="auto"/>
            <w:vAlign w:val="center"/>
            <w:hideMark/>
          </w:tcPr>
          <w:p w14:paraId="09DB9AEF" w14:textId="77777777" w:rsidR="0069400E" w:rsidRPr="0069400E" w:rsidRDefault="0069400E" w:rsidP="0069400E">
            <w:pPr>
              <w:spacing w:after="0" w:line="240" w:lineRule="auto"/>
              <w:rPr>
                <w:rFonts w:ascii="Calibri" w:eastAsia="Times New Roman" w:hAnsi="Calibri" w:cs="Calibri"/>
                <w:sz w:val="20"/>
                <w:szCs w:val="20"/>
                <w:lang w:eastAsia="en-GB"/>
              </w:rPr>
            </w:pPr>
            <w:r w:rsidRPr="0069400E">
              <w:rPr>
                <w:rFonts w:ascii="Calibri" w:eastAsia="Times New Roman" w:hAnsi="Calibri" w:cs="Calibri"/>
                <w:sz w:val="20"/>
                <w:szCs w:val="20"/>
                <w:lang w:eastAsia="en-GB"/>
              </w:rPr>
              <w:t>New Hospital Programmes</w:t>
            </w:r>
          </w:p>
        </w:tc>
        <w:tc>
          <w:tcPr>
            <w:tcW w:w="817" w:type="dxa"/>
            <w:tcBorders>
              <w:top w:val="nil"/>
              <w:left w:val="nil"/>
              <w:bottom w:val="single" w:sz="4" w:space="0" w:color="auto"/>
              <w:right w:val="single" w:sz="4" w:space="0" w:color="auto"/>
            </w:tcBorders>
            <w:shd w:val="clear" w:color="auto" w:fill="auto"/>
            <w:vAlign w:val="center"/>
            <w:hideMark/>
          </w:tcPr>
          <w:p w14:paraId="48D36D29" w14:textId="77777777" w:rsidR="0069400E" w:rsidRPr="0069400E" w:rsidRDefault="0069400E" w:rsidP="0069400E">
            <w:pPr>
              <w:spacing w:after="0" w:line="240" w:lineRule="auto"/>
              <w:rPr>
                <w:rFonts w:ascii="Calibri" w:eastAsia="Times New Roman" w:hAnsi="Calibri" w:cs="Calibri"/>
                <w:sz w:val="20"/>
                <w:szCs w:val="20"/>
                <w:lang w:eastAsia="en-GB"/>
              </w:rPr>
            </w:pPr>
            <w:r w:rsidRPr="0069400E">
              <w:rPr>
                <w:rFonts w:ascii="Calibri" w:eastAsia="Times New Roman" w:hAnsi="Calibri" w:cs="Calibri"/>
                <w:sz w:val="20"/>
                <w:szCs w:val="20"/>
                <w:lang w:eastAsia="en-GB"/>
              </w:rPr>
              <w:t> </w:t>
            </w:r>
          </w:p>
        </w:tc>
        <w:tc>
          <w:tcPr>
            <w:tcW w:w="693" w:type="dxa"/>
            <w:tcBorders>
              <w:top w:val="nil"/>
              <w:left w:val="nil"/>
              <w:bottom w:val="single" w:sz="4" w:space="0" w:color="auto"/>
              <w:right w:val="single" w:sz="4" w:space="0" w:color="auto"/>
            </w:tcBorders>
            <w:shd w:val="clear" w:color="auto" w:fill="auto"/>
            <w:vAlign w:val="center"/>
            <w:hideMark/>
          </w:tcPr>
          <w:p w14:paraId="720F896B" w14:textId="77777777" w:rsidR="0069400E" w:rsidRPr="0069400E" w:rsidRDefault="0069400E" w:rsidP="0069400E">
            <w:pPr>
              <w:spacing w:after="0" w:line="240" w:lineRule="auto"/>
              <w:jc w:val="right"/>
              <w:rPr>
                <w:rFonts w:ascii="Calibri" w:eastAsia="Times New Roman" w:hAnsi="Calibri" w:cs="Calibri"/>
                <w:sz w:val="20"/>
                <w:szCs w:val="20"/>
                <w:lang w:eastAsia="en-GB"/>
              </w:rPr>
            </w:pPr>
            <w:r w:rsidRPr="0069400E">
              <w:rPr>
                <w:rFonts w:ascii="Calibri" w:eastAsia="Times New Roman" w:hAnsi="Calibri" w:cs="Calibri"/>
                <w:sz w:val="20"/>
                <w:szCs w:val="20"/>
                <w:lang w:eastAsia="en-GB"/>
              </w:rPr>
              <w:t>4.8</w:t>
            </w:r>
          </w:p>
        </w:tc>
        <w:tc>
          <w:tcPr>
            <w:tcW w:w="809" w:type="dxa"/>
            <w:tcBorders>
              <w:top w:val="nil"/>
              <w:left w:val="nil"/>
              <w:bottom w:val="single" w:sz="4" w:space="0" w:color="auto"/>
              <w:right w:val="single" w:sz="4" w:space="0" w:color="auto"/>
            </w:tcBorders>
            <w:shd w:val="clear" w:color="auto" w:fill="auto"/>
            <w:vAlign w:val="center"/>
            <w:hideMark/>
          </w:tcPr>
          <w:p w14:paraId="5917D1AB" w14:textId="77777777" w:rsidR="0069400E" w:rsidRPr="0069400E" w:rsidRDefault="0069400E" w:rsidP="0069400E">
            <w:pPr>
              <w:spacing w:after="0" w:line="240" w:lineRule="auto"/>
              <w:jc w:val="right"/>
              <w:rPr>
                <w:rFonts w:ascii="Calibri" w:eastAsia="Times New Roman" w:hAnsi="Calibri" w:cs="Calibri"/>
                <w:sz w:val="20"/>
                <w:szCs w:val="20"/>
                <w:lang w:eastAsia="en-GB"/>
              </w:rPr>
            </w:pPr>
            <w:r w:rsidRPr="0069400E">
              <w:rPr>
                <w:rFonts w:ascii="Calibri" w:eastAsia="Times New Roman" w:hAnsi="Calibri" w:cs="Calibri"/>
                <w:sz w:val="20"/>
                <w:szCs w:val="20"/>
                <w:lang w:eastAsia="en-GB"/>
              </w:rPr>
              <w:t> </w:t>
            </w:r>
          </w:p>
        </w:tc>
        <w:tc>
          <w:tcPr>
            <w:tcW w:w="807" w:type="dxa"/>
            <w:tcBorders>
              <w:top w:val="nil"/>
              <w:left w:val="nil"/>
              <w:bottom w:val="single" w:sz="4" w:space="0" w:color="auto"/>
              <w:right w:val="single" w:sz="8" w:space="0" w:color="auto"/>
            </w:tcBorders>
            <w:shd w:val="clear" w:color="auto" w:fill="auto"/>
            <w:vAlign w:val="center"/>
            <w:hideMark/>
          </w:tcPr>
          <w:p w14:paraId="01D37A72" w14:textId="77777777" w:rsidR="0069400E" w:rsidRPr="0069400E" w:rsidRDefault="0069400E" w:rsidP="0069400E">
            <w:pPr>
              <w:spacing w:after="0" w:line="240" w:lineRule="auto"/>
              <w:jc w:val="right"/>
              <w:rPr>
                <w:rFonts w:ascii="Calibri" w:eastAsia="Times New Roman" w:hAnsi="Calibri" w:cs="Calibri"/>
                <w:sz w:val="20"/>
                <w:szCs w:val="20"/>
                <w:lang w:eastAsia="en-GB"/>
              </w:rPr>
            </w:pPr>
            <w:r w:rsidRPr="0069400E">
              <w:rPr>
                <w:rFonts w:ascii="Calibri" w:eastAsia="Times New Roman" w:hAnsi="Calibri" w:cs="Calibri"/>
                <w:sz w:val="20"/>
                <w:szCs w:val="20"/>
                <w:lang w:eastAsia="en-GB"/>
              </w:rPr>
              <w:t> </w:t>
            </w:r>
          </w:p>
        </w:tc>
        <w:tc>
          <w:tcPr>
            <w:tcW w:w="943" w:type="dxa"/>
            <w:tcBorders>
              <w:top w:val="nil"/>
              <w:left w:val="nil"/>
              <w:bottom w:val="nil"/>
              <w:right w:val="single" w:sz="8" w:space="0" w:color="auto"/>
            </w:tcBorders>
            <w:shd w:val="clear" w:color="000000" w:fill="D9D9D9"/>
            <w:noWrap/>
            <w:vAlign w:val="center"/>
            <w:hideMark/>
          </w:tcPr>
          <w:p w14:paraId="290D1B6B" w14:textId="77777777" w:rsidR="0069400E" w:rsidRPr="0069400E" w:rsidRDefault="0069400E" w:rsidP="0069400E">
            <w:pPr>
              <w:spacing w:after="0" w:line="240" w:lineRule="auto"/>
              <w:jc w:val="right"/>
              <w:rPr>
                <w:rFonts w:ascii="Calibri" w:eastAsia="Times New Roman" w:hAnsi="Calibri" w:cs="Calibri"/>
                <w:b/>
                <w:bCs/>
                <w:sz w:val="20"/>
                <w:szCs w:val="20"/>
                <w:lang w:eastAsia="en-GB"/>
              </w:rPr>
            </w:pPr>
            <w:r w:rsidRPr="0069400E">
              <w:rPr>
                <w:rFonts w:ascii="Calibri" w:eastAsia="Times New Roman" w:hAnsi="Calibri" w:cs="Calibri"/>
                <w:b/>
                <w:bCs/>
                <w:sz w:val="20"/>
                <w:szCs w:val="20"/>
                <w:lang w:eastAsia="en-GB"/>
              </w:rPr>
              <w:t>4.8</w:t>
            </w:r>
          </w:p>
        </w:tc>
        <w:tc>
          <w:tcPr>
            <w:tcW w:w="6428" w:type="dxa"/>
            <w:tcBorders>
              <w:top w:val="nil"/>
              <w:left w:val="nil"/>
              <w:bottom w:val="single" w:sz="4" w:space="0" w:color="auto"/>
              <w:right w:val="single" w:sz="8" w:space="0" w:color="auto"/>
            </w:tcBorders>
            <w:shd w:val="clear" w:color="auto" w:fill="auto"/>
            <w:vAlign w:val="bottom"/>
            <w:hideMark/>
          </w:tcPr>
          <w:p w14:paraId="76E18D98" w14:textId="77777777" w:rsidR="0069400E" w:rsidRPr="0069400E" w:rsidRDefault="0069400E" w:rsidP="0069400E">
            <w:pPr>
              <w:spacing w:after="0" w:line="240" w:lineRule="auto"/>
              <w:rPr>
                <w:rFonts w:ascii="Aptos Narrow" w:eastAsia="Times New Roman" w:hAnsi="Aptos Narrow" w:cs="Times New Roman"/>
                <w:color w:val="000000"/>
                <w:sz w:val="20"/>
                <w:szCs w:val="20"/>
                <w:lang w:eastAsia="en-GB"/>
              </w:rPr>
            </w:pPr>
            <w:r w:rsidRPr="0069400E">
              <w:rPr>
                <w:rFonts w:ascii="Aptos Narrow" w:eastAsia="Times New Roman" w:hAnsi="Aptos Narrow" w:cs="Times New Roman"/>
                <w:color w:val="000000"/>
                <w:sz w:val="20"/>
                <w:szCs w:val="20"/>
                <w:lang w:eastAsia="en-GB"/>
              </w:rPr>
              <w:t>These plans relate to the National Rehabilitation Centre development.</w:t>
            </w:r>
          </w:p>
        </w:tc>
      </w:tr>
      <w:tr w:rsidR="0069400E" w:rsidRPr="0069400E" w14:paraId="3D02C020" w14:textId="77777777" w:rsidTr="00960987">
        <w:trPr>
          <w:trHeight w:val="508"/>
        </w:trPr>
        <w:tc>
          <w:tcPr>
            <w:tcW w:w="2127" w:type="dxa"/>
            <w:tcBorders>
              <w:top w:val="nil"/>
              <w:left w:val="single" w:sz="8" w:space="0" w:color="auto"/>
              <w:bottom w:val="single" w:sz="4" w:space="0" w:color="auto"/>
              <w:right w:val="single" w:sz="8" w:space="0" w:color="auto"/>
            </w:tcBorders>
            <w:shd w:val="clear" w:color="auto" w:fill="auto"/>
            <w:noWrap/>
            <w:vAlign w:val="bottom"/>
            <w:hideMark/>
          </w:tcPr>
          <w:p w14:paraId="54E58BD8" w14:textId="77777777" w:rsidR="0069400E" w:rsidRPr="00A031CF" w:rsidRDefault="0069400E" w:rsidP="0069400E">
            <w:pPr>
              <w:spacing w:after="0" w:line="240" w:lineRule="auto"/>
              <w:rPr>
                <w:rFonts w:ascii="Aptos Narrow" w:eastAsia="Times New Roman" w:hAnsi="Aptos Narrow" w:cs="Times New Roman"/>
                <w:sz w:val="20"/>
                <w:szCs w:val="20"/>
                <w:lang w:eastAsia="en-GB"/>
              </w:rPr>
            </w:pPr>
            <w:r w:rsidRPr="00A031CF">
              <w:rPr>
                <w:rFonts w:ascii="Aptos Narrow" w:eastAsia="Times New Roman" w:hAnsi="Aptos Narrow" w:cs="Times New Roman"/>
                <w:sz w:val="20"/>
                <w:szCs w:val="20"/>
                <w:lang w:eastAsia="en-GB"/>
              </w:rPr>
              <w:t>Confirmed/MOU in place</w:t>
            </w:r>
          </w:p>
        </w:tc>
        <w:tc>
          <w:tcPr>
            <w:tcW w:w="3536" w:type="dxa"/>
            <w:tcBorders>
              <w:top w:val="nil"/>
              <w:left w:val="nil"/>
              <w:bottom w:val="single" w:sz="4" w:space="0" w:color="auto"/>
              <w:right w:val="single" w:sz="8" w:space="0" w:color="auto"/>
            </w:tcBorders>
            <w:shd w:val="clear" w:color="auto" w:fill="auto"/>
            <w:noWrap/>
            <w:vAlign w:val="center"/>
            <w:hideMark/>
          </w:tcPr>
          <w:p w14:paraId="0532BEBB" w14:textId="77777777" w:rsidR="0069400E" w:rsidRPr="0069400E" w:rsidRDefault="0069400E" w:rsidP="0069400E">
            <w:pPr>
              <w:spacing w:after="0" w:line="240" w:lineRule="auto"/>
              <w:rPr>
                <w:rFonts w:ascii="Calibri" w:eastAsia="Times New Roman" w:hAnsi="Calibri" w:cs="Calibri"/>
                <w:sz w:val="20"/>
                <w:szCs w:val="20"/>
                <w:lang w:eastAsia="en-GB"/>
              </w:rPr>
            </w:pPr>
            <w:r w:rsidRPr="0069400E">
              <w:rPr>
                <w:rFonts w:ascii="Calibri" w:eastAsia="Times New Roman" w:hAnsi="Calibri" w:cs="Calibri"/>
                <w:sz w:val="20"/>
                <w:szCs w:val="20"/>
                <w:lang w:eastAsia="en-GB"/>
              </w:rPr>
              <w:t>Frontline Digital - Electronic Patient Records</w:t>
            </w:r>
          </w:p>
        </w:tc>
        <w:tc>
          <w:tcPr>
            <w:tcW w:w="817" w:type="dxa"/>
            <w:tcBorders>
              <w:top w:val="nil"/>
              <w:left w:val="nil"/>
              <w:bottom w:val="single" w:sz="4" w:space="0" w:color="auto"/>
              <w:right w:val="single" w:sz="4" w:space="0" w:color="auto"/>
            </w:tcBorders>
            <w:shd w:val="clear" w:color="auto" w:fill="auto"/>
            <w:vAlign w:val="center"/>
            <w:hideMark/>
          </w:tcPr>
          <w:p w14:paraId="06CBB692" w14:textId="77777777" w:rsidR="0069400E" w:rsidRPr="0069400E" w:rsidRDefault="0069400E" w:rsidP="0069400E">
            <w:pPr>
              <w:spacing w:after="0" w:line="240" w:lineRule="auto"/>
              <w:rPr>
                <w:rFonts w:ascii="Calibri" w:eastAsia="Times New Roman" w:hAnsi="Calibri" w:cs="Calibri"/>
                <w:sz w:val="20"/>
                <w:szCs w:val="20"/>
                <w:lang w:eastAsia="en-GB"/>
              </w:rPr>
            </w:pPr>
            <w:r w:rsidRPr="0069400E">
              <w:rPr>
                <w:rFonts w:ascii="Calibri" w:eastAsia="Times New Roman" w:hAnsi="Calibri" w:cs="Calibri"/>
                <w:sz w:val="20"/>
                <w:szCs w:val="20"/>
                <w:lang w:eastAsia="en-GB"/>
              </w:rPr>
              <w:t> </w:t>
            </w:r>
          </w:p>
        </w:tc>
        <w:tc>
          <w:tcPr>
            <w:tcW w:w="693" w:type="dxa"/>
            <w:tcBorders>
              <w:top w:val="nil"/>
              <w:left w:val="nil"/>
              <w:bottom w:val="single" w:sz="4" w:space="0" w:color="auto"/>
              <w:right w:val="single" w:sz="4" w:space="0" w:color="auto"/>
            </w:tcBorders>
            <w:shd w:val="clear" w:color="auto" w:fill="auto"/>
            <w:vAlign w:val="center"/>
            <w:hideMark/>
          </w:tcPr>
          <w:p w14:paraId="5027C013" w14:textId="77777777" w:rsidR="0069400E" w:rsidRPr="0069400E" w:rsidRDefault="0069400E" w:rsidP="0069400E">
            <w:pPr>
              <w:spacing w:after="0" w:line="240" w:lineRule="auto"/>
              <w:jc w:val="right"/>
              <w:rPr>
                <w:rFonts w:ascii="Calibri" w:eastAsia="Times New Roman" w:hAnsi="Calibri" w:cs="Calibri"/>
                <w:sz w:val="20"/>
                <w:szCs w:val="20"/>
                <w:lang w:eastAsia="en-GB"/>
              </w:rPr>
            </w:pPr>
            <w:r w:rsidRPr="0069400E">
              <w:rPr>
                <w:rFonts w:ascii="Calibri" w:eastAsia="Times New Roman" w:hAnsi="Calibri" w:cs="Calibri"/>
                <w:sz w:val="20"/>
                <w:szCs w:val="20"/>
                <w:lang w:eastAsia="en-GB"/>
              </w:rPr>
              <w:t> </w:t>
            </w:r>
          </w:p>
        </w:tc>
        <w:tc>
          <w:tcPr>
            <w:tcW w:w="809" w:type="dxa"/>
            <w:tcBorders>
              <w:top w:val="nil"/>
              <w:left w:val="nil"/>
              <w:bottom w:val="single" w:sz="4" w:space="0" w:color="auto"/>
              <w:right w:val="single" w:sz="4" w:space="0" w:color="auto"/>
            </w:tcBorders>
            <w:shd w:val="clear" w:color="auto" w:fill="auto"/>
            <w:vAlign w:val="center"/>
            <w:hideMark/>
          </w:tcPr>
          <w:p w14:paraId="20008C38" w14:textId="77777777" w:rsidR="0069400E" w:rsidRPr="0069400E" w:rsidRDefault="0069400E" w:rsidP="0069400E">
            <w:pPr>
              <w:spacing w:after="0" w:line="240" w:lineRule="auto"/>
              <w:jc w:val="right"/>
              <w:rPr>
                <w:rFonts w:ascii="Calibri" w:eastAsia="Times New Roman" w:hAnsi="Calibri" w:cs="Calibri"/>
                <w:sz w:val="20"/>
                <w:szCs w:val="20"/>
                <w:lang w:eastAsia="en-GB"/>
              </w:rPr>
            </w:pPr>
            <w:r w:rsidRPr="0069400E">
              <w:rPr>
                <w:rFonts w:ascii="Calibri" w:eastAsia="Times New Roman" w:hAnsi="Calibri" w:cs="Calibri"/>
                <w:sz w:val="20"/>
                <w:szCs w:val="20"/>
                <w:lang w:eastAsia="en-GB"/>
              </w:rPr>
              <w:t>10.7</w:t>
            </w:r>
          </w:p>
        </w:tc>
        <w:tc>
          <w:tcPr>
            <w:tcW w:w="807" w:type="dxa"/>
            <w:tcBorders>
              <w:top w:val="nil"/>
              <w:left w:val="nil"/>
              <w:bottom w:val="single" w:sz="4" w:space="0" w:color="auto"/>
              <w:right w:val="single" w:sz="8" w:space="0" w:color="auto"/>
            </w:tcBorders>
            <w:shd w:val="clear" w:color="auto" w:fill="auto"/>
            <w:vAlign w:val="center"/>
            <w:hideMark/>
          </w:tcPr>
          <w:p w14:paraId="501008B9" w14:textId="77777777" w:rsidR="0069400E" w:rsidRPr="0069400E" w:rsidRDefault="0069400E" w:rsidP="0069400E">
            <w:pPr>
              <w:spacing w:after="0" w:line="240" w:lineRule="auto"/>
              <w:jc w:val="right"/>
              <w:rPr>
                <w:rFonts w:ascii="Calibri" w:eastAsia="Times New Roman" w:hAnsi="Calibri" w:cs="Calibri"/>
                <w:sz w:val="20"/>
                <w:szCs w:val="20"/>
                <w:lang w:eastAsia="en-GB"/>
              </w:rPr>
            </w:pPr>
            <w:r w:rsidRPr="0069400E">
              <w:rPr>
                <w:rFonts w:ascii="Calibri" w:eastAsia="Times New Roman" w:hAnsi="Calibri" w:cs="Calibri"/>
                <w:sz w:val="20"/>
                <w:szCs w:val="20"/>
                <w:lang w:eastAsia="en-GB"/>
              </w:rPr>
              <w:t>2.0</w:t>
            </w:r>
          </w:p>
        </w:tc>
        <w:tc>
          <w:tcPr>
            <w:tcW w:w="943" w:type="dxa"/>
            <w:tcBorders>
              <w:top w:val="nil"/>
              <w:left w:val="nil"/>
              <w:bottom w:val="nil"/>
              <w:right w:val="single" w:sz="8" w:space="0" w:color="auto"/>
            </w:tcBorders>
            <w:shd w:val="clear" w:color="000000" w:fill="D9D9D9"/>
            <w:noWrap/>
            <w:vAlign w:val="center"/>
            <w:hideMark/>
          </w:tcPr>
          <w:p w14:paraId="122B8CE2" w14:textId="77777777" w:rsidR="0069400E" w:rsidRPr="0069400E" w:rsidRDefault="0069400E" w:rsidP="0069400E">
            <w:pPr>
              <w:spacing w:after="0" w:line="240" w:lineRule="auto"/>
              <w:jc w:val="right"/>
              <w:rPr>
                <w:rFonts w:ascii="Calibri" w:eastAsia="Times New Roman" w:hAnsi="Calibri" w:cs="Calibri"/>
                <w:b/>
                <w:bCs/>
                <w:sz w:val="20"/>
                <w:szCs w:val="20"/>
                <w:lang w:eastAsia="en-GB"/>
              </w:rPr>
            </w:pPr>
            <w:r w:rsidRPr="0069400E">
              <w:rPr>
                <w:rFonts w:ascii="Calibri" w:eastAsia="Times New Roman" w:hAnsi="Calibri" w:cs="Calibri"/>
                <w:b/>
                <w:bCs/>
                <w:sz w:val="20"/>
                <w:szCs w:val="20"/>
                <w:lang w:eastAsia="en-GB"/>
              </w:rPr>
              <w:t>12.7</w:t>
            </w:r>
          </w:p>
        </w:tc>
        <w:tc>
          <w:tcPr>
            <w:tcW w:w="6428" w:type="dxa"/>
            <w:tcBorders>
              <w:top w:val="nil"/>
              <w:left w:val="nil"/>
              <w:bottom w:val="single" w:sz="4" w:space="0" w:color="auto"/>
              <w:right w:val="single" w:sz="8" w:space="0" w:color="auto"/>
            </w:tcBorders>
            <w:shd w:val="clear" w:color="auto" w:fill="auto"/>
            <w:vAlign w:val="bottom"/>
            <w:hideMark/>
          </w:tcPr>
          <w:p w14:paraId="2BC86E41" w14:textId="77777777" w:rsidR="0069400E" w:rsidRPr="0069400E" w:rsidRDefault="0069400E" w:rsidP="0069400E">
            <w:pPr>
              <w:spacing w:after="0" w:line="240" w:lineRule="auto"/>
              <w:rPr>
                <w:rFonts w:ascii="Aptos Narrow" w:eastAsia="Times New Roman" w:hAnsi="Aptos Narrow" w:cs="Times New Roman"/>
                <w:color w:val="000000"/>
                <w:sz w:val="20"/>
                <w:szCs w:val="20"/>
                <w:lang w:eastAsia="en-GB"/>
              </w:rPr>
            </w:pPr>
            <w:r w:rsidRPr="0069400E">
              <w:rPr>
                <w:rFonts w:ascii="Aptos Narrow" w:eastAsia="Times New Roman" w:hAnsi="Aptos Narrow" w:cs="Times New Roman"/>
                <w:color w:val="000000"/>
                <w:sz w:val="20"/>
                <w:szCs w:val="20"/>
                <w:lang w:eastAsia="en-GB"/>
              </w:rPr>
              <w:t>These plans relate to implementing or optimising an existing EPR as a key element of the delivery of the ICS frontline digitisation strategy.</w:t>
            </w:r>
          </w:p>
        </w:tc>
      </w:tr>
      <w:tr w:rsidR="0069400E" w:rsidRPr="0069400E" w14:paraId="6FEF84F8" w14:textId="77777777" w:rsidTr="00960987">
        <w:trPr>
          <w:trHeight w:val="508"/>
        </w:trPr>
        <w:tc>
          <w:tcPr>
            <w:tcW w:w="2127" w:type="dxa"/>
            <w:tcBorders>
              <w:top w:val="nil"/>
              <w:left w:val="single" w:sz="8" w:space="0" w:color="auto"/>
              <w:bottom w:val="single" w:sz="4" w:space="0" w:color="auto"/>
              <w:right w:val="single" w:sz="8" w:space="0" w:color="auto"/>
            </w:tcBorders>
            <w:shd w:val="clear" w:color="auto" w:fill="auto"/>
            <w:vAlign w:val="bottom"/>
            <w:hideMark/>
          </w:tcPr>
          <w:p w14:paraId="34FE9318" w14:textId="77777777" w:rsidR="0069400E" w:rsidRPr="00A031CF" w:rsidRDefault="0069400E" w:rsidP="0069400E">
            <w:pPr>
              <w:spacing w:after="0" w:line="240" w:lineRule="auto"/>
              <w:rPr>
                <w:rFonts w:ascii="Aptos Narrow" w:eastAsia="Times New Roman" w:hAnsi="Aptos Narrow" w:cs="Times New Roman"/>
                <w:sz w:val="20"/>
                <w:szCs w:val="20"/>
                <w:lang w:eastAsia="en-GB"/>
              </w:rPr>
            </w:pPr>
            <w:r w:rsidRPr="00A031CF">
              <w:rPr>
                <w:rFonts w:ascii="Aptos Narrow" w:eastAsia="Times New Roman" w:hAnsi="Aptos Narrow" w:cs="Times New Roman"/>
                <w:sz w:val="20"/>
                <w:szCs w:val="20"/>
                <w:lang w:eastAsia="en-GB"/>
              </w:rPr>
              <w:t>Confirmed/awaiting MOU</w:t>
            </w:r>
          </w:p>
        </w:tc>
        <w:tc>
          <w:tcPr>
            <w:tcW w:w="3536" w:type="dxa"/>
            <w:tcBorders>
              <w:top w:val="nil"/>
              <w:left w:val="nil"/>
              <w:bottom w:val="single" w:sz="4" w:space="0" w:color="auto"/>
              <w:right w:val="single" w:sz="8" w:space="0" w:color="auto"/>
            </w:tcBorders>
            <w:shd w:val="clear" w:color="auto" w:fill="auto"/>
            <w:vAlign w:val="center"/>
            <w:hideMark/>
          </w:tcPr>
          <w:p w14:paraId="255DD151" w14:textId="77777777" w:rsidR="0069400E" w:rsidRPr="0069400E" w:rsidRDefault="0069400E" w:rsidP="0069400E">
            <w:pPr>
              <w:spacing w:after="0" w:line="240" w:lineRule="auto"/>
              <w:rPr>
                <w:rFonts w:ascii="Calibri" w:eastAsia="Times New Roman" w:hAnsi="Calibri" w:cs="Calibri"/>
                <w:sz w:val="20"/>
                <w:szCs w:val="20"/>
                <w:lang w:eastAsia="en-GB"/>
              </w:rPr>
            </w:pPr>
            <w:r w:rsidRPr="0069400E">
              <w:rPr>
                <w:rFonts w:ascii="Calibri" w:eastAsia="Times New Roman" w:hAnsi="Calibri" w:cs="Calibri"/>
                <w:sz w:val="20"/>
                <w:szCs w:val="20"/>
                <w:lang w:eastAsia="en-GB"/>
              </w:rPr>
              <w:t>National Programme Radiotherapy (LINAC)</w:t>
            </w:r>
          </w:p>
        </w:tc>
        <w:tc>
          <w:tcPr>
            <w:tcW w:w="817" w:type="dxa"/>
            <w:tcBorders>
              <w:top w:val="nil"/>
              <w:left w:val="nil"/>
              <w:bottom w:val="single" w:sz="4" w:space="0" w:color="auto"/>
              <w:right w:val="single" w:sz="4" w:space="0" w:color="auto"/>
            </w:tcBorders>
            <w:shd w:val="clear" w:color="auto" w:fill="auto"/>
            <w:vAlign w:val="center"/>
            <w:hideMark/>
          </w:tcPr>
          <w:p w14:paraId="1B33E2D9" w14:textId="77777777" w:rsidR="0069400E" w:rsidRPr="0069400E" w:rsidRDefault="0069400E" w:rsidP="0069400E">
            <w:pPr>
              <w:spacing w:after="0" w:line="240" w:lineRule="auto"/>
              <w:rPr>
                <w:rFonts w:ascii="Calibri" w:eastAsia="Times New Roman" w:hAnsi="Calibri" w:cs="Calibri"/>
                <w:sz w:val="20"/>
                <w:szCs w:val="20"/>
                <w:lang w:eastAsia="en-GB"/>
              </w:rPr>
            </w:pPr>
            <w:r w:rsidRPr="0069400E">
              <w:rPr>
                <w:rFonts w:ascii="Calibri" w:eastAsia="Times New Roman" w:hAnsi="Calibri" w:cs="Calibri"/>
                <w:sz w:val="20"/>
                <w:szCs w:val="20"/>
                <w:lang w:eastAsia="en-GB"/>
              </w:rPr>
              <w:t> </w:t>
            </w:r>
          </w:p>
        </w:tc>
        <w:tc>
          <w:tcPr>
            <w:tcW w:w="693" w:type="dxa"/>
            <w:tcBorders>
              <w:top w:val="nil"/>
              <w:left w:val="nil"/>
              <w:bottom w:val="single" w:sz="4" w:space="0" w:color="auto"/>
              <w:right w:val="single" w:sz="4" w:space="0" w:color="auto"/>
            </w:tcBorders>
            <w:shd w:val="clear" w:color="auto" w:fill="auto"/>
            <w:vAlign w:val="center"/>
            <w:hideMark/>
          </w:tcPr>
          <w:p w14:paraId="3092712E" w14:textId="77777777" w:rsidR="0069400E" w:rsidRPr="0069400E" w:rsidRDefault="0069400E" w:rsidP="0069400E">
            <w:pPr>
              <w:spacing w:after="0" w:line="240" w:lineRule="auto"/>
              <w:jc w:val="right"/>
              <w:rPr>
                <w:rFonts w:ascii="Calibri" w:eastAsia="Times New Roman" w:hAnsi="Calibri" w:cs="Calibri"/>
                <w:sz w:val="20"/>
                <w:szCs w:val="20"/>
                <w:lang w:eastAsia="en-GB"/>
              </w:rPr>
            </w:pPr>
            <w:r w:rsidRPr="0069400E">
              <w:rPr>
                <w:rFonts w:ascii="Calibri" w:eastAsia="Times New Roman" w:hAnsi="Calibri" w:cs="Calibri"/>
                <w:sz w:val="20"/>
                <w:szCs w:val="20"/>
                <w:lang w:eastAsia="en-GB"/>
              </w:rPr>
              <w:t>2.4</w:t>
            </w:r>
          </w:p>
        </w:tc>
        <w:tc>
          <w:tcPr>
            <w:tcW w:w="809" w:type="dxa"/>
            <w:tcBorders>
              <w:top w:val="nil"/>
              <w:left w:val="nil"/>
              <w:bottom w:val="single" w:sz="4" w:space="0" w:color="auto"/>
              <w:right w:val="single" w:sz="4" w:space="0" w:color="auto"/>
            </w:tcBorders>
            <w:shd w:val="clear" w:color="auto" w:fill="auto"/>
            <w:vAlign w:val="center"/>
            <w:hideMark/>
          </w:tcPr>
          <w:p w14:paraId="7D0CBD16" w14:textId="77777777" w:rsidR="0069400E" w:rsidRPr="0069400E" w:rsidRDefault="0069400E" w:rsidP="0069400E">
            <w:pPr>
              <w:spacing w:after="0" w:line="240" w:lineRule="auto"/>
              <w:jc w:val="right"/>
              <w:rPr>
                <w:rFonts w:ascii="Calibri" w:eastAsia="Times New Roman" w:hAnsi="Calibri" w:cs="Calibri"/>
                <w:sz w:val="20"/>
                <w:szCs w:val="20"/>
                <w:lang w:eastAsia="en-GB"/>
              </w:rPr>
            </w:pPr>
            <w:r w:rsidRPr="0069400E">
              <w:rPr>
                <w:rFonts w:ascii="Calibri" w:eastAsia="Times New Roman" w:hAnsi="Calibri" w:cs="Calibri"/>
                <w:sz w:val="20"/>
                <w:szCs w:val="20"/>
                <w:lang w:eastAsia="en-GB"/>
              </w:rPr>
              <w:t> </w:t>
            </w:r>
          </w:p>
        </w:tc>
        <w:tc>
          <w:tcPr>
            <w:tcW w:w="807" w:type="dxa"/>
            <w:tcBorders>
              <w:top w:val="nil"/>
              <w:left w:val="nil"/>
              <w:bottom w:val="single" w:sz="4" w:space="0" w:color="auto"/>
              <w:right w:val="single" w:sz="8" w:space="0" w:color="auto"/>
            </w:tcBorders>
            <w:shd w:val="clear" w:color="auto" w:fill="auto"/>
            <w:vAlign w:val="center"/>
            <w:hideMark/>
          </w:tcPr>
          <w:p w14:paraId="6CBEEADA" w14:textId="77777777" w:rsidR="0069400E" w:rsidRPr="0069400E" w:rsidRDefault="0069400E" w:rsidP="0069400E">
            <w:pPr>
              <w:spacing w:after="0" w:line="240" w:lineRule="auto"/>
              <w:jc w:val="right"/>
              <w:rPr>
                <w:rFonts w:ascii="Calibri" w:eastAsia="Times New Roman" w:hAnsi="Calibri" w:cs="Calibri"/>
                <w:sz w:val="20"/>
                <w:szCs w:val="20"/>
                <w:lang w:eastAsia="en-GB"/>
              </w:rPr>
            </w:pPr>
            <w:r w:rsidRPr="0069400E">
              <w:rPr>
                <w:rFonts w:ascii="Calibri" w:eastAsia="Times New Roman" w:hAnsi="Calibri" w:cs="Calibri"/>
                <w:sz w:val="20"/>
                <w:szCs w:val="20"/>
                <w:lang w:eastAsia="en-GB"/>
              </w:rPr>
              <w:t> </w:t>
            </w:r>
          </w:p>
        </w:tc>
        <w:tc>
          <w:tcPr>
            <w:tcW w:w="943" w:type="dxa"/>
            <w:tcBorders>
              <w:top w:val="nil"/>
              <w:left w:val="nil"/>
              <w:bottom w:val="nil"/>
              <w:right w:val="single" w:sz="8" w:space="0" w:color="auto"/>
            </w:tcBorders>
            <w:shd w:val="clear" w:color="000000" w:fill="D9D9D9"/>
            <w:noWrap/>
            <w:vAlign w:val="center"/>
            <w:hideMark/>
          </w:tcPr>
          <w:p w14:paraId="7344A2C1" w14:textId="77777777" w:rsidR="0069400E" w:rsidRPr="0069400E" w:rsidRDefault="0069400E" w:rsidP="0069400E">
            <w:pPr>
              <w:spacing w:after="0" w:line="240" w:lineRule="auto"/>
              <w:jc w:val="right"/>
              <w:rPr>
                <w:rFonts w:ascii="Calibri" w:eastAsia="Times New Roman" w:hAnsi="Calibri" w:cs="Calibri"/>
                <w:b/>
                <w:bCs/>
                <w:sz w:val="20"/>
                <w:szCs w:val="20"/>
                <w:lang w:eastAsia="en-GB"/>
              </w:rPr>
            </w:pPr>
            <w:r w:rsidRPr="0069400E">
              <w:rPr>
                <w:rFonts w:ascii="Calibri" w:eastAsia="Times New Roman" w:hAnsi="Calibri" w:cs="Calibri"/>
                <w:b/>
                <w:bCs/>
                <w:sz w:val="20"/>
                <w:szCs w:val="20"/>
                <w:lang w:eastAsia="en-GB"/>
              </w:rPr>
              <w:t>2.4</w:t>
            </w:r>
          </w:p>
        </w:tc>
        <w:tc>
          <w:tcPr>
            <w:tcW w:w="6428" w:type="dxa"/>
            <w:tcBorders>
              <w:top w:val="nil"/>
              <w:left w:val="nil"/>
              <w:bottom w:val="single" w:sz="4" w:space="0" w:color="auto"/>
              <w:right w:val="single" w:sz="8" w:space="0" w:color="auto"/>
            </w:tcBorders>
            <w:shd w:val="clear" w:color="auto" w:fill="auto"/>
            <w:vAlign w:val="bottom"/>
            <w:hideMark/>
          </w:tcPr>
          <w:p w14:paraId="2B24C62B" w14:textId="77777777" w:rsidR="0069400E" w:rsidRPr="0069400E" w:rsidRDefault="0069400E" w:rsidP="0069400E">
            <w:pPr>
              <w:spacing w:after="0" w:line="240" w:lineRule="auto"/>
              <w:rPr>
                <w:rFonts w:ascii="Aptos Narrow" w:eastAsia="Times New Roman" w:hAnsi="Aptos Narrow" w:cs="Times New Roman"/>
                <w:color w:val="000000"/>
                <w:sz w:val="20"/>
                <w:szCs w:val="20"/>
                <w:lang w:eastAsia="en-GB"/>
              </w:rPr>
            </w:pPr>
            <w:r w:rsidRPr="0069400E">
              <w:rPr>
                <w:rFonts w:ascii="Aptos Narrow" w:eastAsia="Times New Roman" w:hAnsi="Aptos Narrow" w:cs="Times New Roman"/>
                <w:color w:val="000000"/>
                <w:sz w:val="20"/>
                <w:szCs w:val="20"/>
                <w:lang w:eastAsia="en-GB"/>
              </w:rPr>
              <w:t>This plan relates to replacement machine funded from the national radiotherapy equipment replacement fund.</w:t>
            </w:r>
          </w:p>
        </w:tc>
      </w:tr>
      <w:tr w:rsidR="0069400E" w:rsidRPr="0069400E" w14:paraId="3D3AB5AE" w14:textId="77777777" w:rsidTr="00960987">
        <w:trPr>
          <w:trHeight w:val="508"/>
        </w:trPr>
        <w:tc>
          <w:tcPr>
            <w:tcW w:w="2127" w:type="dxa"/>
            <w:tcBorders>
              <w:top w:val="nil"/>
              <w:left w:val="single" w:sz="8" w:space="0" w:color="auto"/>
              <w:bottom w:val="single" w:sz="4" w:space="0" w:color="auto"/>
              <w:right w:val="single" w:sz="8" w:space="0" w:color="auto"/>
            </w:tcBorders>
            <w:shd w:val="clear" w:color="auto" w:fill="auto"/>
            <w:noWrap/>
            <w:vAlign w:val="bottom"/>
            <w:hideMark/>
          </w:tcPr>
          <w:p w14:paraId="0B031B90" w14:textId="77777777" w:rsidR="0069400E" w:rsidRPr="00A031CF" w:rsidRDefault="0069400E" w:rsidP="0069400E">
            <w:pPr>
              <w:spacing w:after="0" w:line="240" w:lineRule="auto"/>
              <w:rPr>
                <w:rFonts w:ascii="Aptos Narrow" w:eastAsia="Times New Roman" w:hAnsi="Aptos Narrow" w:cs="Times New Roman"/>
                <w:sz w:val="20"/>
                <w:szCs w:val="20"/>
                <w:lang w:eastAsia="en-GB"/>
              </w:rPr>
            </w:pPr>
            <w:r w:rsidRPr="00A031CF">
              <w:rPr>
                <w:rFonts w:ascii="Aptos Narrow" w:eastAsia="Times New Roman" w:hAnsi="Aptos Narrow" w:cs="Times New Roman"/>
                <w:sz w:val="20"/>
                <w:szCs w:val="20"/>
                <w:lang w:eastAsia="en-GB"/>
              </w:rPr>
              <w:t>Supported in principle</w:t>
            </w:r>
          </w:p>
        </w:tc>
        <w:tc>
          <w:tcPr>
            <w:tcW w:w="3536" w:type="dxa"/>
            <w:tcBorders>
              <w:top w:val="nil"/>
              <w:left w:val="nil"/>
              <w:bottom w:val="nil"/>
              <w:right w:val="single" w:sz="8" w:space="0" w:color="auto"/>
            </w:tcBorders>
            <w:shd w:val="clear" w:color="auto" w:fill="auto"/>
            <w:vAlign w:val="center"/>
            <w:hideMark/>
          </w:tcPr>
          <w:p w14:paraId="11452CAC" w14:textId="3377AD18" w:rsidR="0069400E" w:rsidRPr="0069400E" w:rsidRDefault="0069400E" w:rsidP="0069400E">
            <w:pPr>
              <w:spacing w:after="0" w:line="240" w:lineRule="auto"/>
              <w:rPr>
                <w:rFonts w:ascii="Calibri" w:eastAsia="Times New Roman" w:hAnsi="Calibri" w:cs="Calibri"/>
                <w:sz w:val="20"/>
                <w:szCs w:val="20"/>
                <w:lang w:eastAsia="en-GB"/>
              </w:rPr>
            </w:pPr>
            <w:r w:rsidRPr="0069400E">
              <w:rPr>
                <w:rFonts w:ascii="Calibri" w:eastAsia="Times New Roman" w:hAnsi="Calibri" w:cs="Calibri"/>
                <w:sz w:val="20"/>
                <w:szCs w:val="20"/>
                <w:lang w:eastAsia="en-GB"/>
              </w:rPr>
              <w:t>Mental health: reducing O</w:t>
            </w:r>
            <w:r>
              <w:rPr>
                <w:rFonts w:ascii="Calibri" w:eastAsia="Times New Roman" w:hAnsi="Calibri" w:cs="Calibri"/>
                <w:sz w:val="20"/>
                <w:szCs w:val="20"/>
                <w:lang w:eastAsia="en-GB"/>
              </w:rPr>
              <w:t>ut</w:t>
            </w:r>
            <w:r w:rsidRPr="0069400E">
              <w:rPr>
                <w:rFonts w:ascii="Calibri" w:eastAsia="Times New Roman" w:hAnsi="Calibri" w:cs="Calibri"/>
                <w:sz w:val="20"/>
                <w:szCs w:val="20"/>
                <w:lang w:eastAsia="en-GB"/>
              </w:rPr>
              <w:t xml:space="preserve"> of Area Placements</w:t>
            </w:r>
          </w:p>
        </w:tc>
        <w:tc>
          <w:tcPr>
            <w:tcW w:w="817" w:type="dxa"/>
            <w:tcBorders>
              <w:top w:val="nil"/>
              <w:left w:val="nil"/>
              <w:bottom w:val="single" w:sz="4" w:space="0" w:color="auto"/>
              <w:right w:val="single" w:sz="4" w:space="0" w:color="auto"/>
            </w:tcBorders>
            <w:shd w:val="clear" w:color="auto" w:fill="auto"/>
            <w:vAlign w:val="center"/>
            <w:hideMark/>
          </w:tcPr>
          <w:p w14:paraId="25CF6F4B" w14:textId="77777777" w:rsidR="0069400E" w:rsidRPr="0069400E" w:rsidRDefault="0069400E" w:rsidP="0069400E">
            <w:pPr>
              <w:spacing w:after="0" w:line="240" w:lineRule="auto"/>
              <w:rPr>
                <w:rFonts w:ascii="Calibri" w:eastAsia="Times New Roman" w:hAnsi="Calibri" w:cs="Calibri"/>
                <w:sz w:val="20"/>
                <w:szCs w:val="20"/>
                <w:lang w:eastAsia="en-GB"/>
              </w:rPr>
            </w:pPr>
            <w:r w:rsidRPr="0069400E">
              <w:rPr>
                <w:rFonts w:ascii="Calibri" w:eastAsia="Times New Roman" w:hAnsi="Calibri" w:cs="Calibri"/>
                <w:sz w:val="20"/>
                <w:szCs w:val="20"/>
                <w:lang w:eastAsia="en-GB"/>
              </w:rPr>
              <w:t> </w:t>
            </w:r>
          </w:p>
        </w:tc>
        <w:tc>
          <w:tcPr>
            <w:tcW w:w="693" w:type="dxa"/>
            <w:tcBorders>
              <w:top w:val="nil"/>
              <w:left w:val="nil"/>
              <w:bottom w:val="single" w:sz="4" w:space="0" w:color="auto"/>
              <w:right w:val="single" w:sz="4" w:space="0" w:color="auto"/>
            </w:tcBorders>
            <w:shd w:val="clear" w:color="auto" w:fill="auto"/>
            <w:vAlign w:val="center"/>
            <w:hideMark/>
          </w:tcPr>
          <w:p w14:paraId="21ED5B8D" w14:textId="77777777" w:rsidR="0069400E" w:rsidRPr="0069400E" w:rsidRDefault="0069400E" w:rsidP="0069400E">
            <w:pPr>
              <w:spacing w:after="0" w:line="240" w:lineRule="auto"/>
              <w:jc w:val="right"/>
              <w:rPr>
                <w:rFonts w:ascii="Calibri" w:eastAsia="Times New Roman" w:hAnsi="Calibri" w:cs="Calibri"/>
                <w:sz w:val="20"/>
                <w:szCs w:val="20"/>
                <w:lang w:eastAsia="en-GB"/>
              </w:rPr>
            </w:pPr>
            <w:r w:rsidRPr="0069400E">
              <w:rPr>
                <w:rFonts w:ascii="Calibri" w:eastAsia="Times New Roman" w:hAnsi="Calibri" w:cs="Calibri"/>
                <w:sz w:val="20"/>
                <w:szCs w:val="20"/>
                <w:lang w:eastAsia="en-GB"/>
              </w:rPr>
              <w:t> </w:t>
            </w:r>
          </w:p>
        </w:tc>
        <w:tc>
          <w:tcPr>
            <w:tcW w:w="809" w:type="dxa"/>
            <w:tcBorders>
              <w:top w:val="nil"/>
              <w:left w:val="nil"/>
              <w:bottom w:val="single" w:sz="4" w:space="0" w:color="auto"/>
              <w:right w:val="single" w:sz="4" w:space="0" w:color="auto"/>
            </w:tcBorders>
            <w:shd w:val="clear" w:color="auto" w:fill="auto"/>
            <w:vAlign w:val="center"/>
            <w:hideMark/>
          </w:tcPr>
          <w:p w14:paraId="29DDF8C1" w14:textId="77777777" w:rsidR="0069400E" w:rsidRPr="0069400E" w:rsidRDefault="0069400E" w:rsidP="0069400E">
            <w:pPr>
              <w:spacing w:after="0" w:line="240" w:lineRule="auto"/>
              <w:jc w:val="right"/>
              <w:rPr>
                <w:rFonts w:ascii="Calibri" w:eastAsia="Times New Roman" w:hAnsi="Calibri" w:cs="Calibri"/>
                <w:sz w:val="20"/>
                <w:szCs w:val="20"/>
                <w:lang w:eastAsia="en-GB"/>
              </w:rPr>
            </w:pPr>
            <w:r w:rsidRPr="0069400E">
              <w:rPr>
                <w:rFonts w:ascii="Calibri" w:eastAsia="Times New Roman" w:hAnsi="Calibri" w:cs="Calibri"/>
                <w:sz w:val="20"/>
                <w:szCs w:val="20"/>
                <w:lang w:eastAsia="en-GB"/>
              </w:rPr>
              <w:t> </w:t>
            </w:r>
          </w:p>
        </w:tc>
        <w:tc>
          <w:tcPr>
            <w:tcW w:w="807" w:type="dxa"/>
            <w:tcBorders>
              <w:top w:val="nil"/>
              <w:left w:val="nil"/>
              <w:bottom w:val="single" w:sz="4" w:space="0" w:color="auto"/>
              <w:right w:val="single" w:sz="8" w:space="0" w:color="auto"/>
            </w:tcBorders>
            <w:shd w:val="clear" w:color="auto" w:fill="auto"/>
            <w:vAlign w:val="center"/>
            <w:hideMark/>
          </w:tcPr>
          <w:p w14:paraId="439CD75C" w14:textId="77777777" w:rsidR="0069400E" w:rsidRPr="0069400E" w:rsidRDefault="0069400E" w:rsidP="0069400E">
            <w:pPr>
              <w:spacing w:after="0" w:line="240" w:lineRule="auto"/>
              <w:jc w:val="right"/>
              <w:rPr>
                <w:rFonts w:ascii="Calibri" w:eastAsia="Times New Roman" w:hAnsi="Calibri" w:cs="Calibri"/>
                <w:sz w:val="20"/>
                <w:szCs w:val="20"/>
                <w:lang w:eastAsia="en-GB"/>
              </w:rPr>
            </w:pPr>
            <w:r w:rsidRPr="0069400E">
              <w:rPr>
                <w:rFonts w:ascii="Calibri" w:eastAsia="Times New Roman" w:hAnsi="Calibri" w:cs="Calibri"/>
                <w:sz w:val="20"/>
                <w:szCs w:val="20"/>
                <w:lang w:eastAsia="en-GB"/>
              </w:rPr>
              <w:t>0.8</w:t>
            </w:r>
          </w:p>
        </w:tc>
        <w:tc>
          <w:tcPr>
            <w:tcW w:w="943" w:type="dxa"/>
            <w:tcBorders>
              <w:top w:val="nil"/>
              <w:left w:val="nil"/>
              <w:bottom w:val="nil"/>
              <w:right w:val="single" w:sz="8" w:space="0" w:color="auto"/>
            </w:tcBorders>
            <w:shd w:val="clear" w:color="000000" w:fill="D9D9D9"/>
            <w:noWrap/>
            <w:vAlign w:val="center"/>
            <w:hideMark/>
          </w:tcPr>
          <w:p w14:paraId="72FEB6B1" w14:textId="77777777" w:rsidR="0069400E" w:rsidRPr="0069400E" w:rsidRDefault="0069400E" w:rsidP="0069400E">
            <w:pPr>
              <w:spacing w:after="0" w:line="240" w:lineRule="auto"/>
              <w:jc w:val="right"/>
              <w:rPr>
                <w:rFonts w:ascii="Calibri" w:eastAsia="Times New Roman" w:hAnsi="Calibri" w:cs="Calibri"/>
                <w:b/>
                <w:bCs/>
                <w:sz w:val="20"/>
                <w:szCs w:val="20"/>
                <w:lang w:eastAsia="en-GB"/>
              </w:rPr>
            </w:pPr>
            <w:r w:rsidRPr="0069400E">
              <w:rPr>
                <w:rFonts w:ascii="Calibri" w:eastAsia="Times New Roman" w:hAnsi="Calibri" w:cs="Calibri"/>
                <w:b/>
                <w:bCs/>
                <w:sz w:val="20"/>
                <w:szCs w:val="20"/>
                <w:lang w:eastAsia="en-GB"/>
              </w:rPr>
              <w:t>0.8</w:t>
            </w:r>
          </w:p>
        </w:tc>
        <w:tc>
          <w:tcPr>
            <w:tcW w:w="6428" w:type="dxa"/>
            <w:tcBorders>
              <w:top w:val="nil"/>
              <w:left w:val="nil"/>
              <w:bottom w:val="single" w:sz="4" w:space="0" w:color="auto"/>
              <w:right w:val="single" w:sz="8" w:space="0" w:color="auto"/>
            </w:tcBorders>
            <w:shd w:val="clear" w:color="auto" w:fill="auto"/>
            <w:vAlign w:val="bottom"/>
            <w:hideMark/>
          </w:tcPr>
          <w:p w14:paraId="30B38F13" w14:textId="77777777" w:rsidR="0069400E" w:rsidRPr="0069400E" w:rsidRDefault="0069400E" w:rsidP="0069400E">
            <w:pPr>
              <w:spacing w:after="0" w:line="240" w:lineRule="auto"/>
              <w:rPr>
                <w:rFonts w:ascii="Aptos Narrow" w:eastAsia="Times New Roman" w:hAnsi="Aptos Narrow" w:cs="Times New Roman"/>
                <w:color w:val="000000"/>
                <w:sz w:val="20"/>
                <w:szCs w:val="20"/>
                <w:lang w:eastAsia="en-GB"/>
              </w:rPr>
            </w:pPr>
            <w:r w:rsidRPr="0069400E">
              <w:rPr>
                <w:rFonts w:ascii="Aptos Narrow" w:eastAsia="Times New Roman" w:hAnsi="Aptos Narrow" w:cs="Times New Roman"/>
                <w:color w:val="000000"/>
                <w:sz w:val="20"/>
                <w:szCs w:val="20"/>
                <w:lang w:eastAsia="en-GB"/>
              </w:rPr>
              <w:t>This relates to supporting reducing inappropriate out-of-area placements (OAPs) for mental health inpatients.</w:t>
            </w:r>
          </w:p>
        </w:tc>
      </w:tr>
      <w:tr w:rsidR="0069400E" w:rsidRPr="0069400E" w14:paraId="1F17CBF5" w14:textId="77777777" w:rsidTr="00960987">
        <w:trPr>
          <w:trHeight w:val="287"/>
        </w:trPr>
        <w:tc>
          <w:tcPr>
            <w:tcW w:w="2127" w:type="dxa"/>
            <w:tcBorders>
              <w:top w:val="nil"/>
              <w:left w:val="single" w:sz="8" w:space="0" w:color="auto"/>
              <w:bottom w:val="single" w:sz="4" w:space="0" w:color="auto"/>
              <w:right w:val="single" w:sz="8" w:space="0" w:color="auto"/>
            </w:tcBorders>
            <w:shd w:val="clear" w:color="auto" w:fill="auto"/>
            <w:noWrap/>
            <w:vAlign w:val="center"/>
            <w:hideMark/>
          </w:tcPr>
          <w:p w14:paraId="41EB864D" w14:textId="77777777" w:rsidR="0069400E" w:rsidRPr="00A031CF" w:rsidRDefault="0069400E" w:rsidP="0069400E">
            <w:pPr>
              <w:spacing w:after="0" w:line="240" w:lineRule="auto"/>
              <w:rPr>
                <w:rFonts w:ascii="Calibri" w:eastAsia="Times New Roman" w:hAnsi="Calibri" w:cs="Calibri"/>
                <w:sz w:val="20"/>
                <w:szCs w:val="20"/>
                <w:lang w:eastAsia="en-GB"/>
              </w:rPr>
            </w:pPr>
            <w:r w:rsidRPr="00A031CF">
              <w:rPr>
                <w:rFonts w:ascii="Calibri" w:eastAsia="Times New Roman" w:hAnsi="Calibri" w:cs="Calibri"/>
                <w:sz w:val="20"/>
                <w:szCs w:val="20"/>
                <w:lang w:eastAsia="en-GB"/>
              </w:rPr>
              <w:t>Subject to funding approval</w:t>
            </w:r>
          </w:p>
        </w:tc>
        <w:tc>
          <w:tcPr>
            <w:tcW w:w="3536" w:type="dxa"/>
            <w:tcBorders>
              <w:top w:val="single" w:sz="4" w:space="0" w:color="auto"/>
              <w:left w:val="nil"/>
              <w:bottom w:val="nil"/>
              <w:right w:val="single" w:sz="8" w:space="0" w:color="auto"/>
            </w:tcBorders>
            <w:shd w:val="clear" w:color="auto" w:fill="auto"/>
            <w:vAlign w:val="center"/>
            <w:hideMark/>
          </w:tcPr>
          <w:p w14:paraId="038C0A06" w14:textId="77777777" w:rsidR="0069400E" w:rsidRPr="0069400E" w:rsidRDefault="0069400E" w:rsidP="0069400E">
            <w:pPr>
              <w:spacing w:after="0" w:line="240" w:lineRule="auto"/>
              <w:rPr>
                <w:rFonts w:ascii="Calibri" w:eastAsia="Times New Roman" w:hAnsi="Calibri" w:cs="Calibri"/>
                <w:sz w:val="20"/>
                <w:szCs w:val="20"/>
                <w:lang w:eastAsia="en-GB"/>
              </w:rPr>
            </w:pPr>
            <w:r w:rsidRPr="0069400E">
              <w:rPr>
                <w:rFonts w:ascii="Calibri" w:eastAsia="Times New Roman" w:hAnsi="Calibri" w:cs="Calibri"/>
                <w:sz w:val="20"/>
                <w:szCs w:val="20"/>
                <w:lang w:eastAsia="en-GB"/>
              </w:rPr>
              <w:t>Mental health dormitories</w:t>
            </w:r>
          </w:p>
        </w:tc>
        <w:tc>
          <w:tcPr>
            <w:tcW w:w="817" w:type="dxa"/>
            <w:tcBorders>
              <w:top w:val="nil"/>
              <w:left w:val="nil"/>
              <w:bottom w:val="single" w:sz="4" w:space="0" w:color="auto"/>
              <w:right w:val="single" w:sz="4" w:space="0" w:color="auto"/>
            </w:tcBorders>
            <w:shd w:val="clear" w:color="auto" w:fill="auto"/>
            <w:vAlign w:val="center"/>
            <w:hideMark/>
          </w:tcPr>
          <w:p w14:paraId="2E6937B0" w14:textId="77777777" w:rsidR="0069400E" w:rsidRPr="0069400E" w:rsidRDefault="0069400E" w:rsidP="0069400E">
            <w:pPr>
              <w:spacing w:after="0" w:line="240" w:lineRule="auto"/>
              <w:rPr>
                <w:rFonts w:ascii="Calibri" w:eastAsia="Times New Roman" w:hAnsi="Calibri" w:cs="Calibri"/>
                <w:sz w:val="20"/>
                <w:szCs w:val="20"/>
                <w:lang w:eastAsia="en-GB"/>
              </w:rPr>
            </w:pPr>
            <w:r w:rsidRPr="0069400E">
              <w:rPr>
                <w:rFonts w:ascii="Calibri" w:eastAsia="Times New Roman" w:hAnsi="Calibri" w:cs="Calibri"/>
                <w:sz w:val="20"/>
                <w:szCs w:val="20"/>
                <w:lang w:eastAsia="en-GB"/>
              </w:rPr>
              <w:t> </w:t>
            </w:r>
          </w:p>
        </w:tc>
        <w:tc>
          <w:tcPr>
            <w:tcW w:w="693" w:type="dxa"/>
            <w:tcBorders>
              <w:top w:val="nil"/>
              <w:left w:val="nil"/>
              <w:bottom w:val="single" w:sz="4" w:space="0" w:color="auto"/>
              <w:right w:val="single" w:sz="4" w:space="0" w:color="auto"/>
            </w:tcBorders>
            <w:shd w:val="clear" w:color="auto" w:fill="auto"/>
            <w:vAlign w:val="center"/>
            <w:hideMark/>
          </w:tcPr>
          <w:p w14:paraId="158A148F" w14:textId="77777777" w:rsidR="0069400E" w:rsidRPr="0069400E" w:rsidRDefault="0069400E" w:rsidP="0069400E">
            <w:pPr>
              <w:spacing w:after="0" w:line="240" w:lineRule="auto"/>
              <w:jc w:val="right"/>
              <w:rPr>
                <w:rFonts w:ascii="Calibri" w:eastAsia="Times New Roman" w:hAnsi="Calibri" w:cs="Calibri"/>
                <w:sz w:val="20"/>
                <w:szCs w:val="20"/>
                <w:lang w:eastAsia="en-GB"/>
              </w:rPr>
            </w:pPr>
            <w:r w:rsidRPr="0069400E">
              <w:rPr>
                <w:rFonts w:ascii="Calibri" w:eastAsia="Times New Roman" w:hAnsi="Calibri" w:cs="Calibri"/>
                <w:sz w:val="20"/>
                <w:szCs w:val="20"/>
                <w:lang w:eastAsia="en-GB"/>
              </w:rPr>
              <w:t> </w:t>
            </w:r>
          </w:p>
        </w:tc>
        <w:tc>
          <w:tcPr>
            <w:tcW w:w="809" w:type="dxa"/>
            <w:tcBorders>
              <w:top w:val="nil"/>
              <w:left w:val="nil"/>
              <w:bottom w:val="single" w:sz="4" w:space="0" w:color="auto"/>
              <w:right w:val="single" w:sz="4" w:space="0" w:color="auto"/>
            </w:tcBorders>
            <w:shd w:val="clear" w:color="auto" w:fill="auto"/>
            <w:vAlign w:val="center"/>
            <w:hideMark/>
          </w:tcPr>
          <w:p w14:paraId="6D437F93" w14:textId="77777777" w:rsidR="0069400E" w:rsidRPr="0069400E" w:rsidRDefault="0069400E" w:rsidP="0069400E">
            <w:pPr>
              <w:spacing w:after="0" w:line="240" w:lineRule="auto"/>
              <w:jc w:val="right"/>
              <w:rPr>
                <w:rFonts w:ascii="Calibri" w:eastAsia="Times New Roman" w:hAnsi="Calibri" w:cs="Calibri"/>
                <w:sz w:val="20"/>
                <w:szCs w:val="20"/>
                <w:lang w:eastAsia="en-GB"/>
              </w:rPr>
            </w:pPr>
            <w:r w:rsidRPr="0069400E">
              <w:rPr>
                <w:rFonts w:ascii="Calibri" w:eastAsia="Times New Roman" w:hAnsi="Calibri" w:cs="Calibri"/>
                <w:sz w:val="20"/>
                <w:szCs w:val="20"/>
                <w:lang w:eastAsia="en-GB"/>
              </w:rPr>
              <w:t> </w:t>
            </w:r>
          </w:p>
        </w:tc>
        <w:tc>
          <w:tcPr>
            <w:tcW w:w="807" w:type="dxa"/>
            <w:tcBorders>
              <w:top w:val="nil"/>
              <w:left w:val="nil"/>
              <w:bottom w:val="single" w:sz="4" w:space="0" w:color="auto"/>
              <w:right w:val="single" w:sz="8" w:space="0" w:color="auto"/>
            </w:tcBorders>
            <w:shd w:val="clear" w:color="auto" w:fill="auto"/>
            <w:vAlign w:val="center"/>
            <w:hideMark/>
          </w:tcPr>
          <w:p w14:paraId="51820B22" w14:textId="77777777" w:rsidR="0069400E" w:rsidRPr="0069400E" w:rsidRDefault="0069400E" w:rsidP="0069400E">
            <w:pPr>
              <w:spacing w:after="0" w:line="240" w:lineRule="auto"/>
              <w:jc w:val="right"/>
              <w:rPr>
                <w:rFonts w:ascii="Calibri" w:eastAsia="Times New Roman" w:hAnsi="Calibri" w:cs="Calibri"/>
                <w:sz w:val="20"/>
                <w:szCs w:val="20"/>
                <w:lang w:eastAsia="en-GB"/>
              </w:rPr>
            </w:pPr>
            <w:r w:rsidRPr="0069400E">
              <w:rPr>
                <w:rFonts w:ascii="Calibri" w:eastAsia="Times New Roman" w:hAnsi="Calibri" w:cs="Calibri"/>
                <w:sz w:val="20"/>
                <w:szCs w:val="20"/>
                <w:lang w:eastAsia="en-GB"/>
              </w:rPr>
              <w:t>0.6</w:t>
            </w:r>
          </w:p>
        </w:tc>
        <w:tc>
          <w:tcPr>
            <w:tcW w:w="943" w:type="dxa"/>
            <w:tcBorders>
              <w:top w:val="nil"/>
              <w:left w:val="nil"/>
              <w:bottom w:val="nil"/>
              <w:right w:val="single" w:sz="8" w:space="0" w:color="auto"/>
            </w:tcBorders>
            <w:shd w:val="clear" w:color="000000" w:fill="D9D9D9"/>
            <w:noWrap/>
            <w:vAlign w:val="center"/>
            <w:hideMark/>
          </w:tcPr>
          <w:p w14:paraId="04F20460" w14:textId="77777777" w:rsidR="0069400E" w:rsidRPr="0069400E" w:rsidRDefault="0069400E" w:rsidP="0069400E">
            <w:pPr>
              <w:spacing w:after="0" w:line="240" w:lineRule="auto"/>
              <w:jc w:val="right"/>
              <w:rPr>
                <w:rFonts w:ascii="Calibri" w:eastAsia="Times New Roman" w:hAnsi="Calibri" w:cs="Calibri"/>
                <w:b/>
                <w:bCs/>
                <w:sz w:val="20"/>
                <w:szCs w:val="20"/>
                <w:lang w:eastAsia="en-GB"/>
              </w:rPr>
            </w:pPr>
            <w:r w:rsidRPr="0069400E">
              <w:rPr>
                <w:rFonts w:ascii="Calibri" w:eastAsia="Times New Roman" w:hAnsi="Calibri" w:cs="Calibri"/>
                <w:b/>
                <w:bCs/>
                <w:sz w:val="20"/>
                <w:szCs w:val="20"/>
                <w:lang w:eastAsia="en-GB"/>
              </w:rPr>
              <w:t>0.6</w:t>
            </w:r>
          </w:p>
        </w:tc>
        <w:tc>
          <w:tcPr>
            <w:tcW w:w="6428" w:type="dxa"/>
            <w:tcBorders>
              <w:top w:val="nil"/>
              <w:left w:val="nil"/>
              <w:bottom w:val="single" w:sz="4" w:space="0" w:color="auto"/>
              <w:right w:val="single" w:sz="8" w:space="0" w:color="auto"/>
            </w:tcBorders>
            <w:shd w:val="clear" w:color="auto" w:fill="auto"/>
            <w:vAlign w:val="bottom"/>
            <w:hideMark/>
          </w:tcPr>
          <w:p w14:paraId="539E955D" w14:textId="77777777" w:rsidR="0069400E" w:rsidRPr="0069400E" w:rsidRDefault="0069400E" w:rsidP="0069400E">
            <w:pPr>
              <w:spacing w:after="0" w:line="240" w:lineRule="auto"/>
              <w:rPr>
                <w:rFonts w:ascii="Aptos Narrow" w:eastAsia="Times New Roman" w:hAnsi="Aptos Narrow" w:cs="Times New Roman"/>
                <w:color w:val="000000"/>
                <w:sz w:val="20"/>
                <w:szCs w:val="20"/>
                <w:lang w:eastAsia="en-GB"/>
              </w:rPr>
            </w:pPr>
            <w:r w:rsidRPr="0069400E">
              <w:rPr>
                <w:rFonts w:ascii="Aptos Narrow" w:eastAsia="Times New Roman" w:hAnsi="Aptos Narrow" w:cs="Times New Roman"/>
                <w:color w:val="000000"/>
                <w:sz w:val="20"/>
                <w:szCs w:val="20"/>
                <w:lang w:eastAsia="en-GB"/>
              </w:rPr>
              <w:t>This relates to the eradication of dormitories from mental health facilities.</w:t>
            </w:r>
          </w:p>
        </w:tc>
      </w:tr>
      <w:tr w:rsidR="0069400E" w:rsidRPr="0069400E" w14:paraId="67D3E582" w14:textId="77777777" w:rsidTr="00960987">
        <w:trPr>
          <w:trHeight w:val="287"/>
        </w:trPr>
        <w:tc>
          <w:tcPr>
            <w:tcW w:w="2127" w:type="dxa"/>
            <w:tcBorders>
              <w:top w:val="nil"/>
              <w:left w:val="single" w:sz="8" w:space="0" w:color="auto"/>
              <w:bottom w:val="single" w:sz="4" w:space="0" w:color="auto"/>
              <w:right w:val="single" w:sz="8" w:space="0" w:color="auto"/>
            </w:tcBorders>
            <w:shd w:val="clear" w:color="auto" w:fill="auto"/>
            <w:noWrap/>
            <w:vAlign w:val="center"/>
            <w:hideMark/>
          </w:tcPr>
          <w:p w14:paraId="57086D77" w14:textId="77777777" w:rsidR="0069400E" w:rsidRPr="00A031CF" w:rsidRDefault="0069400E" w:rsidP="0069400E">
            <w:pPr>
              <w:spacing w:after="0" w:line="240" w:lineRule="auto"/>
              <w:rPr>
                <w:rFonts w:ascii="Calibri" w:eastAsia="Times New Roman" w:hAnsi="Calibri" w:cs="Calibri"/>
                <w:sz w:val="20"/>
                <w:szCs w:val="20"/>
                <w:lang w:eastAsia="en-GB"/>
              </w:rPr>
            </w:pPr>
            <w:r w:rsidRPr="00A031CF">
              <w:rPr>
                <w:rFonts w:ascii="Calibri" w:eastAsia="Times New Roman" w:hAnsi="Calibri" w:cs="Calibri"/>
                <w:sz w:val="20"/>
                <w:szCs w:val="20"/>
                <w:lang w:eastAsia="en-GB"/>
              </w:rPr>
              <w:t>Technical Adjustment</w:t>
            </w:r>
          </w:p>
        </w:tc>
        <w:tc>
          <w:tcPr>
            <w:tcW w:w="3536" w:type="dxa"/>
            <w:tcBorders>
              <w:top w:val="single" w:sz="4" w:space="0" w:color="auto"/>
              <w:left w:val="nil"/>
              <w:bottom w:val="nil"/>
              <w:right w:val="single" w:sz="8" w:space="0" w:color="auto"/>
            </w:tcBorders>
            <w:shd w:val="clear" w:color="auto" w:fill="auto"/>
            <w:vAlign w:val="center"/>
            <w:hideMark/>
          </w:tcPr>
          <w:p w14:paraId="795C4D29" w14:textId="1585CAD6" w:rsidR="0069400E" w:rsidRPr="0069400E" w:rsidRDefault="0069400E" w:rsidP="0069400E">
            <w:pPr>
              <w:spacing w:after="0" w:line="240" w:lineRule="auto"/>
              <w:rPr>
                <w:rFonts w:ascii="Calibri" w:eastAsia="Times New Roman" w:hAnsi="Calibri" w:cs="Calibri"/>
                <w:sz w:val="20"/>
                <w:szCs w:val="20"/>
                <w:lang w:eastAsia="en-GB"/>
              </w:rPr>
            </w:pPr>
            <w:r w:rsidRPr="0069400E">
              <w:rPr>
                <w:rFonts w:ascii="Calibri" w:eastAsia="Times New Roman" w:hAnsi="Calibri" w:cs="Calibri"/>
                <w:sz w:val="20"/>
                <w:szCs w:val="20"/>
                <w:lang w:eastAsia="en-GB"/>
              </w:rPr>
              <w:t xml:space="preserve">Other Adjustments </w:t>
            </w:r>
            <w:r>
              <w:rPr>
                <w:rFonts w:ascii="Calibri" w:eastAsia="Times New Roman" w:hAnsi="Calibri" w:cs="Calibri"/>
                <w:sz w:val="20"/>
                <w:szCs w:val="20"/>
                <w:lang w:eastAsia="en-GB"/>
              </w:rPr>
              <w:t>–</w:t>
            </w:r>
            <w:r w:rsidRPr="0069400E">
              <w:rPr>
                <w:rFonts w:ascii="Calibri" w:eastAsia="Times New Roman" w:hAnsi="Calibri" w:cs="Calibri"/>
                <w:sz w:val="20"/>
                <w:szCs w:val="20"/>
                <w:lang w:eastAsia="en-GB"/>
              </w:rPr>
              <w:t xml:space="preserve"> Provider</w:t>
            </w:r>
          </w:p>
        </w:tc>
        <w:tc>
          <w:tcPr>
            <w:tcW w:w="817" w:type="dxa"/>
            <w:tcBorders>
              <w:top w:val="single" w:sz="4" w:space="0" w:color="auto"/>
              <w:left w:val="nil"/>
              <w:bottom w:val="single" w:sz="8" w:space="0" w:color="auto"/>
              <w:right w:val="single" w:sz="4" w:space="0" w:color="auto"/>
            </w:tcBorders>
            <w:shd w:val="clear" w:color="auto" w:fill="auto"/>
            <w:vAlign w:val="center"/>
            <w:hideMark/>
          </w:tcPr>
          <w:p w14:paraId="6509236A" w14:textId="77777777" w:rsidR="0069400E" w:rsidRPr="0069400E" w:rsidRDefault="0069400E" w:rsidP="0069400E">
            <w:pPr>
              <w:spacing w:after="0" w:line="240" w:lineRule="auto"/>
              <w:rPr>
                <w:rFonts w:ascii="Calibri" w:eastAsia="Times New Roman" w:hAnsi="Calibri" w:cs="Calibri"/>
                <w:sz w:val="20"/>
                <w:szCs w:val="20"/>
                <w:lang w:eastAsia="en-GB"/>
              </w:rPr>
            </w:pPr>
            <w:r w:rsidRPr="0069400E">
              <w:rPr>
                <w:rFonts w:ascii="Calibri" w:eastAsia="Times New Roman" w:hAnsi="Calibri" w:cs="Calibri"/>
                <w:sz w:val="20"/>
                <w:szCs w:val="20"/>
                <w:lang w:eastAsia="en-GB"/>
              </w:rPr>
              <w:t> </w:t>
            </w:r>
          </w:p>
        </w:tc>
        <w:tc>
          <w:tcPr>
            <w:tcW w:w="693" w:type="dxa"/>
            <w:tcBorders>
              <w:top w:val="single" w:sz="4" w:space="0" w:color="auto"/>
              <w:left w:val="nil"/>
              <w:bottom w:val="single" w:sz="8" w:space="0" w:color="auto"/>
              <w:right w:val="single" w:sz="4" w:space="0" w:color="auto"/>
            </w:tcBorders>
            <w:shd w:val="clear" w:color="auto" w:fill="auto"/>
            <w:vAlign w:val="center"/>
            <w:hideMark/>
          </w:tcPr>
          <w:p w14:paraId="2AA08DB9" w14:textId="77777777" w:rsidR="0069400E" w:rsidRPr="0069400E" w:rsidRDefault="0069400E" w:rsidP="0069400E">
            <w:pPr>
              <w:spacing w:after="0" w:line="240" w:lineRule="auto"/>
              <w:jc w:val="right"/>
              <w:rPr>
                <w:rFonts w:ascii="Calibri" w:eastAsia="Times New Roman" w:hAnsi="Calibri" w:cs="Calibri"/>
                <w:sz w:val="20"/>
                <w:szCs w:val="20"/>
                <w:lang w:eastAsia="en-GB"/>
              </w:rPr>
            </w:pPr>
            <w:r w:rsidRPr="0069400E">
              <w:rPr>
                <w:rFonts w:ascii="Calibri" w:eastAsia="Times New Roman" w:hAnsi="Calibri" w:cs="Calibri"/>
                <w:sz w:val="20"/>
                <w:szCs w:val="20"/>
                <w:lang w:eastAsia="en-GB"/>
              </w:rPr>
              <w:t>0.0</w:t>
            </w:r>
          </w:p>
        </w:tc>
        <w:tc>
          <w:tcPr>
            <w:tcW w:w="809" w:type="dxa"/>
            <w:tcBorders>
              <w:top w:val="single" w:sz="4" w:space="0" w:color="auto"/>
              <w:left w:val="nil"/>
              <w:bottom w:val="single" w:sz="8" w:space="0" w:color="auto"/>
              <w:right w:val="single" w:sz="4" w:space="0" w:color="auto"/>
            </w:tcBorders>
            <w:shd w:val="clear" w:color="auto" w:fill="auto"/>
            <w:vAlign w:val="center"/>
            <w:hideMark/>
          </w:tcPr>
          <w:p w14:paraId="6C69C17B" w14:textId="77777777" w:rsidR="0069400E" w:rsidRPr="0069400E" w:rsidRDefault="0069400E" w:rsidP="0069400E">
            <w:pPr>
              <w:spacing w:after="0" w:line="240" w:lineRule="auto"/>
              <w:jc w:val="right"/>
              <w:rPr>
                <w:rFonts w:ascii="Calibri" w:eastAsia="Times New Roman" w:hAnsi="Calibri" w:cs="Calibri"/>
                <w:sz w:val="20"/>
                <w:szCs w:val="20"/>
                <w:lang w:eastAsia="en-GB"/>
              </w:rPr>
            </w:pPr>
            <w:r w:rsidRPr="0069400E">
              <w:rPr>
                <w:rFonts w:ascii="Calibri" w:eastAsia="Times New Roman" w:hAnsi="Calibri" w:cs="Calibri"/>
                <w:sz w:val="20"/>
                <w:szCs w:val="20"/>
                <w:lang w:eastAsia="en-GB"/>
              </w:rPr>
              <w:t>5.7</w:t>
            </w:r>
          </w:p>
        </w:tc>
        <w:tc>
          <w:tcPr>
            <w:tcW w:w="807" w:type="dxa"/>
            <w:tcBorders>
              <w:top w:val="single" w:sz="4" w:space="0" w:color="auto"/>
              <w:left w:val="nil"/>
              <w:bottom w:val="single" w:sz="8" w:space="0" w:color="auto"/>
              <w:right w:val="single" w:sz="8" w:space="0" w:color="auto"/>
            </w:tcBorders>
            <w:shd w:val="clear" w:color="auto" w:fill="auto"/>
            <w:vAlign w:val="center"/>
            <w:hideMark/>
          </w:tcPr>
          <w:p w14:paraId="30306C44" w14:textId="77777777" w:rsidR="0069400E" w:rsidRPr="0069400E" w:rsidRDefault="0069400E" w:rsidP="0069400E">
            <w:pPr>
              <w:spacing w:after="0" w:line="240" w:lineRule="auto"/>
              <w:jc w:val="right"/>
              <w:rPr>
                <w:rFonts w:ascii="Calibri" w:eastAsia="Times New Roman" w:hAnsi="Calibri" w:cs="Calibri"/>
                <w:sz w:val="20"/>
                <w:szCs w:val="20"/>
                <w:lang w:eastAsia="en-GB"/>
              </w:rPr>
            </w:pPr>
            <w:r w:rsidRPr="0069400E">
              <w:rPr>
                <w:rFonts w:ascii="Calibri" w:eastAsia="Times New Roman" w:hAnsi="Calibri" w:cs="Calibri"/>
                <w:sz w:val="20"/>
                <w:szCs w:val="20"/>
                <w:lang w:eastAsia="en-GB"/>
              </w:rPr>
              <w:t>0.7</w:t>
            </w:r>
          </w:p>
        </w:tc>
        <w:tc>
          <w:tcPr>
            <w:tcW w:w="943" w:type="dxa"/>
            <w:tcBorders>
              <w:top w:val="nil"/>
              <w:left w:val="nil"/>
              <w:bottom w:val="nil"/>
              <w:right w:val="single" w:sz="8" w:space="0" w:color="auto"/>
            </w:tcBorders>
            <w:shd w:val="clear" w:color="000000" w:fill="D9D9D9"/>
            <w:noWrap/>
            <w:vAlign w:val="center"/>
            <w:hideMark/>
          </w:tcPr>
          <w:p w14:paraId="4CB64BC9" w14:textId="77777777" w:rsidR="0069400E" w:rsidRPr="0069400E" w:rsidRDefault="0069400E" w:rsidP="0069400E">
            <w:pPr>
              <w:spacing w:after="0" w:line="240" w:lineRule="auto"/>
              <w:jc w:val="right"/>
              <w:rPr>
                <w:rFonts w:ascii="Calibri" w:eastAsia="Times New Roman" w:hAnsi="Calibri" w:cs="Calibri"/>
                <w:b/>
                <w:bCs/>
                <w:sz w:val="20"/>
                <w:szCs w:val="20"/>
                <w:lang w:eastAsia="en-GB"/>
              </w:rPr>
            </w:pPr>
            <w:r w:rsidRPr="0069400E">
              <w:rPr>
                <w:rFonts w:ascii="Calibri" w:eastAsia="Times New Roman" w:hAnsi="Calibri" w:cs="Calibri"/>
                <w:b/>
                <w:bCs/>
                <w:sz w:val="20"/>
                <w:szCs w:val="20"/>
                <w:lang w:eastAsia="en-GB"/>
              </w:rPr>
              <w:t>6.4</w:t>
            </w:r>
          </w:p>
        </w:tc>
        <w:tc>
          <w:tcPr>
            <w:tcW w:w="6428" w:type="dxa"/>
            <w:tcBorders>
              <w:top w:val="nil"/>
              <w:left w:val="nil"/>
              <w:bottom w:val="single" w:sz="4" w:space="0" w:color="auto"/>
              <w:right w:val="single" w:sz="8" w:space="0" w:color="auto"/>
            </w:tcBorders>
            <w:shd w:val="clear" w:color="auto" w:fill="auto"/>
            <w:vAlign w:val="bottom"/>
            <w:hideMark/>
          </w:tcPr>
          <w:p w14:paraId="08864B1E" w14:textId="77777777" w:rsidR="0069400E" w:rsidRPr="0069400E" w:rsidRDefault="0069400E" w:rsidP="0069400E">
            <w:pPr>
              <w:spacing w:after="0" w:line="240" w:lineRule="auto"/>
              <w:rPr>
                <w:rFonts w:ascii="Aptos Narrow" w:eastAsia="Times New Roman" w:hAnsi="Aptos Narrow" w:cs="Times New Roman"/>
                <w:color w:val="000000"/>
                <w:sz w:val="20"/>
                <w:szCs w:val="20"/>
                <w:lang w:eastAsia="en-GB"/>
              </w:rPr>
            </w:pPr>
            <w:r w:rsidRPr="0069400E">
              <w:rPr>
                <w:rFonts w:ascii="Aptos Narrow" w:eastAsia="Times New Roman" w:hAnsi="Aptos Narrow" w:cs="Times New Roman"/>
                <w:color w:val="000000"/>
                <w:sz w:val="20"/>
                <w:szCs w:val="20"/>
                <w:lang w:eastAsia="en-GB"/>
              </w:rPr>
              <w:t>This relates to the technical adjustment relating to PFI capital charges e.g. residual interest.</w:t>
            </w:r>
          </w:p>
        </w:tc>
      </w:tr>
      <w:tr w:rsidR="00960987" w:rsidRPr="0069400E" w14:paraId="08E82AA6" w14:textId="77777777" w:rsidTr="00960987">
        <w:trPr>
          <w:trHeight w:val="287"/>
        </w:trPr>
        <w:tc>
          <w:tcPr>
            <w:tcW w:w="2127"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4C482282" w14:textId="77777777" w:rsidR="0069400E" w:rsidRPr="00A031CF" w:rsidRDefault="0069400E" w:rsidP="0069400E">
            <w:pPr>
              <w:spacing w:after="0" w:line="240" w:lineRule="auto"/>
              <w:rPr>
                <w:rFonts w:ascii="Calibri" w:eastAsia="Times New Roman" w:hAnsi="Calibri" w:cs="Calibri"/>
                <w:b/>
                <w:bCs/>
                <w:sz w:val="20"/>
                <w:szCs w:val="20"/>
                <w:lang w:eastAsia="en-GB"/>
              </w:rPr>
            </w:pPr>
            <w:r w:rsidRPr="00A031CF">
              <w:rPr>
                <w:rFonts w:ascii="Calibri" w:eastAsia="Times New Roman" w:hAnsi="Calibri" w:cs="Calibri"/>
                <w:b/>
                <w:bCs/>
                <w:sz w:val="20"/>
                <w:szCs w:val="20"/>
                <w:lang w:eastAsia="en-GB"/>
              </w:rPr>
              <w:t> </w:t>
            </w:r>
          </w:p>
        </w:tc>
        <w:tc>
          <w:tcPr>
            <w:tcW w:w="3536" w:type="dxa"/>
            <w:tcBorders>
              <w:top w:val="single" w:sz="8" w:space="0" w:color="auto"/>
              <w:left w:val="nil"/>
              <w:bottom w:val="single" w:sz="8" w:space="0" w:color="auto"/>
              <w:right w:val="single" w:sz="8" w:space="0" w:color="auto"/>
            </w:tcBorders>
            <w:shd w:val="clear" w:color="000000" w:fill="D9D9D9"/>
            <w:noWrap/>
            <w:vAlign w:val="center"/>
            <w:hideMark/>
          </w:tcPr>
          <w:p w14:paraId="0660B703" w14:textId="40AD0030" w:rsidR="0069400E" w:rsidRPr="0069400E" w:rsidRDefault="0069400E" w:rsidP="0069400E">
            <w:pPr>
              <w:spacing w:after="0" w:line="240" w:lineRule="auto"/>
              <w:rPr>
                <w:rFonts w:ascii="Calibri" w:eastAsia="Times New Roman" w:hAnsi="Calibri" w:cs="Calibri"/>
                <w:b/>
                <w:bCs/>
                <w:sz w:val="20"/>
                <w:szCs w:val="20"/>
                <w:lang w:eastAsia="en-GB"/>
              </w:rPr>
            </w:pPr>
            <w:r w:rsidRPr="0069400E">
              <w:rPr>
                <w:rFonts w:ascii="Calibri" w:eastAsia="Times New Roman" w:hAnsi="Calibri" w:cs="Calibri"/>
                <w:b/>
                <w:bCs/>
                <w:sz w:val="20"/>
                <w:szCs w:val="20"/>
                <w:lang w:eastAsia="en-GB"/>
              </w:rPr>
              <w:t>Sub Total</w:t>
            </w:r>
            <w:r>
              <w:rPr>
                <w:rFonts w:ascii="Calibri" w:eastAsia="Times New Roman" w:hAnsi="Calibri" w:cs="Calibri"/>
                <w:b/>
                <w:bCs/>
                <w:sz w:val="20"/>
                <w:szCs w:val="20"/>
                <w:lang w:eastAsia="en-GB"/>
              </w:rPr>
              <w:t xml:space="preserve"> National Programme Spend</w:t>
            </w:r>
          </w:p>
        </w:tc>
        <w:tc>
          <w:tcPr>
            <w:tcW w:w="817" w:type="dxa"/>
            <w:tcBorders>
              <w:top w:val="nil"/>
              <w:left w:val="nil"/>
              <w:bottom w:val="single" w:sz="8" w:space="0" w:color="auto"/>
              <w:right w:val="single" w:sz="4" w:space="0" w:color="auto"/>
            </w:tcBorders>
            <w:shd w:val="clear" w:color="000000" w:fill="D9D9D9"/>
            <w:noWrap/>
            <w:vAlign w:val="center"/>
            <w:hideMark/>
          </w:tcPr>
          <w:p w14:paraId="4759A324" w14:textId="77777777" w:rsidR="0069400E" w:rsidRPr="0069400E" w:rsidRDefault="0069400E" w:rsidP="0069400E">
            <w:pPr>
              <w:spacing w:after="0" w:line="240" w:lineRule="auto"/>
              <w:jc w:val="right"/>
              <w:rPr>
                <w:rFonts w:ascii="Calibri" w:eastAsia="Times New Roman" w:hAnsi="Calibri" w:cs="Calibri"/>
                <w:b/>
                <w:bCs/>
                <w:sz w:val="20"/>
                <w:szCs w:val="20"/>
                <w:lang w:eastAsia="en-GB"/>
              </w:rPr>
            </w:pPr>
            <w:r w:rsidRPr="0069400E">
              <w:rPr>
                <w:rFonts w:ascii="Calibri" w:eastAsia="Times New Roman" w:hAnsi="Calibri" w:cs="Calibri"/>
                <w:b/>
                <w:bCs/>
                <w:sz w:val="20"/>
                <w:szCs w:val="20"/>
                <w:lang w:eastAsia="en-GB"/>
              </w:rPr>
              <w:t>4.6</w:t>
            </w:r>
          </w:p>
        </w:tc>
        <w:tc>
          <w:tcPr>
            <w:tcW w:w="693" w:type="dxa"/>
            <w:tcBorders>
              <w:top w:val="nil"/>
              <w:left w:val="single" w:sz="8" w:space="0" w:color="auto"/>
              <w:bottom w:val="single" w:sz="8" w:space="0" w:color="auto"/>
              <w:right w:val="single" w:sz="4" w:space="0" w:color="auto"/>
            </w:tcBorders>
            <w:shd w:val="clear" w:color="000000" w:fill="D9D9D9"/>
            <w:noWrap/>
            <w:vAlign w:val="center"/>
            <w:hideMark/>
          </w:tcPr>
          <w:p w14:paraId="54D466A1" w14:textId="77777777" w:rsidR="0069400E" w:rsidRPr="0069400E" w:rsidRDefault="0069400E" w:rsidP="0069400E">
            <w:pPr>
              <w:spacing w:after="0" w:line="240" w:lineRule="auto"/>
              <w:jc w:val="right"/>
              <w:rPr>
                <w:rFonts w:ascii="Calibri" w:eastAsia="Times New Roman" w:hAnsi="Calibri" w:cs="Calibri"/>
                <w:b/>
                <w:bCs/>
                <w:sz w:val="20"/>
                <w:szCs w:val="20"/>
                <w:lang w:eastAsia="en-GB"/>
              </w:rPr>
            </w:pPr>
            <w:r w:rsidRPr="0069400E">
              <w:rPr>
                <w:rFonts w:ascii="Calibri" w:eastAsia="Times New Roman" w:hAnsi="Calibri" w:cs="Calibri"/>
                <w:b/>
                <w:bCs/>
                <w:sz w:val="20"/>
                <w:szCs w:val="20"/>
                <w:lang w:eastAsia="en-GB"/>
              </w:rPr>
              <w:t>77.5</w:t>
            </w:r>
          </w:p>
        </w:tc>
        <w:tc>
          <w:tcPr>
            <w:tcW w:w="809" w:type="dxa"/>
            <w:tcBorders>
              <w:top w:val="nil"/>
              <w:left w:val="single" w:sz="8" w:space="0" w:color="auto"/>
              <w:bottom w:val="single" w:sz="8" w:space="0" w:color="auto"/>
              <w:right w:val="single" w:sz="4" w:space="0" w:color="auto"/>
            </w:tcBorders>
            <w:shd w:val="clear" w:color="000000" w:fill="D9D9D9"/>
            <w:noWrap/>
            <w:vAlign w:val="center"/>
            <w:hideMark/>
          </w:tcPr>
          <w:p w14:paraId="7372246C" w14:textId="77777777" w:rsidR="0069400E" w:rsidRPr="0069400E" w:rsidRDefault="0069400E" w:rsidP="0069400E">
            <w:pPr>
              <w:spacing w:after="0" w:line="240" w:lineRule="auto"/>
              <w:jc w:val="right"/>
              <w:rPr>
                <w:rFonts w:ascii="Calibri" w:eastAsia="Times New Roman" w:hAnsi="Calibri" w:cs="Calibri"/>
                <w:b/>
                <w:bCs/>
                <w:sz w:val="20"/>
                <w:szCs w:val="20"/>
                <w:lang w:eastAsia="en-GB"/>
              </w:rPr>
            </w:pPr>
            <w:r w:rsidRPr="0069400E">
              <w:rPr>
                <w:rFonts w:ascii="Calibri" w:eastAsia="Times New Roman" w:hAnsi="Calibri" w:cs="Calibri"/>
                <w:b/>
                <w:bCs/>
                <w:sz w:val="20"/>
                <w:szCs w:val="20"/>
                <w:lang w:eastAsia="en-GB"/>
              </w:rPr>
              <w:t>32.8</w:t>
            </w:r>
          </w:p>
        </w:tc>
        <w:tc>
          <w:tcPr>
            <w:tcW w:w="807" w:type="dxa"/>
            <w:tcBorders>
              <w:top w:val="nil"/>
              <w:left w:val="single" w:sz="8" w:space="0" w:color="auto"/>
              <w:bottom w:val="single" w:sz="8" w:space="0" w:color="auto"/>
              <w:right w:val="single" w:sz="4" w:space="0" w:color="auto"/>
            </w:tcBorders>
            <w:shd w:val="clear" w:color="000000" w:fill="D9D9D9"/>
            <w:noWrap/>
            <w:vAlign w:val="center"/>
            <w:hideMark/>
          </w:tcPr>
          <w:p w14:paraId="7CEC3FB0" w14:textId="77777777" w:rsidR="0069400E" w:rsidRPr="0069400E" w:rsidRDefault="0069400E" w:rsidP="0069400E">
            <w:pPr>
              <w:spacing w:after="0" w:line="240" w:lineRule="auto"/>
              <w:jc w:val="right"/>
              <w:rPr>
                <w:rFonts w:ascii="Calibri" w:eastAsia="Times New Roman" w:hAnsi="Calibri" w:cs="Calibri"/>
                <w:b/>
                <w:bCs/>
                <w:sz w:val="20"/>
                <w:szCs w:val="20"/>
                <w:lang w:eastAsia="en-GB"/>
              </w:rPr>
            </w:pPr>
            <w:r w:rsidRPr="0069400E">
              <w:rPr>
                <w:rFonts w:ascii="Calibri" w:eastAsia="Times New Roman" w:hAnsi="Calibri" w:cs="Calibri"/>
                <w:b/>
                <w:bCs/>
                <w:sz w:val="20"/>
                <w:szCs w:val="20"/>
                <w:lang w:eastAsia="en-GB"/>
              </w:rPr>
              <w:t>20.2</w:t>
            </w:r>
          </w:p>
        </w:tc>
        <w:tc>
          <w:tcPr>
            <w:tcW w:w="943"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0E5437E7" w14:textId="77777777" w:rsidR="0069400E" w:rsidRPr="0069400E" w:rsidRDefault="0069400E" w:rsidP="0069400E">
            <w:pPr>
              <w:spacing w:after="0" w:line="240" w:lineRule="auto"/>
              <w:jc w:val="right"/>
              <w:rPr>
                <w:rFonts w:ascii="Calibri" w:eastAsia="Times New Roman" w:hAnsi="Calibri" w:cs="Calibri"/>
                <w:b/>
                <w:bCs/>
                <w:sz w:val="20"/>
                <w:szCs w:val="20"/>
                <w:lang w:eastAsia="en-GB"/>
              </w:rPr>
            </w:pPr>
            <w:r w:rsidRPr="0069400E">
              <w:rPr>
                <w:rFonts w:ascii="Calibri" w:eastAsia="Times New Roman" w:hAnsi="Calibri" w:cs="Calibri"/>
                <w:b/>
                <w:bCs/>
                <w:sz w:val="20"/>
                <w:szCs w:val="20"/>
                <w:lang w:eastAsia="en-GB"/>
              </w:rPr>
              <w:t>135.1</w:t>
            </w:r>
          </w:p>
        </w:tc>
        <w:tc>
          <w:tcPr>
            <w:tcW w:w="6428" w:type="dxa"/>
            <w:tcBorders>
              <w:top w:val="nil"/>
              <w:left w:val="nil"/>
              <w:bottom w:val="single" w:sz="8" w:space="0" w:color="auto"/>
              <w:right w:val="single" w:sz="8" w:space="0" w:color="auto"/>
            </w:tcBorders>
            <w:shd w:val="clear" w:color="000000" w:fill="D9D9D9"/>
            <w:noWrap/>
            <w:vAlign w:val="center"/>
            <w:hideMark/>
          </w:tcPr>
          <w:p w14:paraId="4FF16139" w14:textId="77777777" w:rsidR="0069400E" w:rsidRPr="0069400E" w:rsidRDefault="0069400E" w:rsidP="0069400E">
            <w:pPr>
              <w:spacing w:after="0" w:line="240" w:lineRule="auto"/>
              <w:rPr>
                <w:rFonts w:ascii="Calibri" w:eastAsia="Times New Roman" w:hAnsi="Calibri" w:cs="Calibri"/>
                <w:b/>
                <w:bCs/>
                <w:sz w:val="20"/>
                <w:szCs w:val="20"/>
                <w:lang w:eastAsia="en-GB"/>
              </w:rPr>
            </w:pPr>
            <w:r w:rsidRPr="0069400E">
              <w:rPr>
                <w:rFonts w:ascii="Calibri" w:eastAsia="Times New Roman" w:hAnsi="Calibri" w:cs="Calibri"/>
                <w:b/>
                <w:bCs/>
                <w:sz w:val="20"/>
                <w:szCs w:val="20"/>
                <w:lang w:eastAsia="en-GB"/>
              </w:rPr>
              <w:t> </w:t>
            </w:r>
          </w:p>
        </w:tc>
      </w:tr>
      <w:tr w:rsidR="0069400E" w:rsidRPr="0069400E" w14:paraId="1FE55494" w14:textId="77777777" w:rsidTr="00960987">
        <w:trPr>
          <w:trHeight w:val="623"/>
        </w:trPr>
        <w:tc>
          <w:tcPr>
            <w:tcW w:w="2127" w:type="dxa"/>
            <w:tcBorders>
              <w:top w:val="nil"/>
              <w:left w:val="single" w:sz="8" w:space="0" w:color="auto"/>
              <w:bottom w:val="single" w:sz="4" w:space="0" w:color="auto"/>
              <w:right w:val="single" w:sz="8" w:space="0" w:color="auto"/>
            </w:tcBorders>
            <w:shd w:val="clear" w:color="auto" w:fill="auto"/>
            <w:vAlign w:val="center"/>
            <w:hideMark/>
          </w:tcPr>
          <w:p w14:paraId="788216C7" w14:textId="77777777" w:rsidR="0069400E" w:rsidRPr="00A031CF" w:rsidRDefault="0069400E" w:rsidP="0069400E">
            <w:pPr>
              <w:spacing w:after="0" w:line="240" w:lineRule="auto"/>
              <w:rPr>
                <w:rFonts w:ascii="Calibri" w:eastAsia="Times New Roman" w:hAnsi="Calibri" w:cs="Calibri"/>
                <w:sz w:val="20"/>
                <w:szCs w:val="20"/>
                <w:lang w:eastAsia="en-GB"/>
              </w:rPr>
            </w:pPr>
            <w:r w:rsidRPr="00A031CF">
              <w:rPr>
                <w:rFonts w:ascii="Calibri" w:eastAsia="Times New Roman" w:hAnsi="Calibri" w:cs="Calibri"/>
                <w:sz w:val="20"/>
                <w:szCs w:val="20"/>
                <w:lang w:eastAsia="en-GB"/>
              </w:rPr>
              <w:t>Pending approval following NHSE panel</w:t>
            </w:r>
          </w:p>
        </w:tc>
        <w:tc>
          <w:tcPr>
            <w:tcW w:w="3536" w:type="dxa"/>
            <w:tcBorders>
              <w:top w:val="nil"/>
              <w:left w:val="nil"/>
              <w:bottom w:val="single" w:sz="4" w:space="0" w:color="auto"/>
              <w:right w:val="single" w:sz="8" w:space="0" w:color="auto"/>
            </w:tcBorders>
            <w:shd w:val="clear" w:color="auto" w:fill="auto"/>
            <w:noWrap/>
            <w:vAlign w:val="center"/>
            <w:hideMark/>
          </w:tcPr>
          <w:p w14:paraId="31B0BA05" w14:textId="77777777" w:rsidR="0069400E" w:rsidRPr="0069400E" w:rsidRDefault="0069400E" w:rsidP="0069400E">
            <w:pPr>
              <w:spacing w:after="0" w:line="240" w:lineRule="auto"/>
              <w:rPr>
                <w:rFonts w:ascii="Calibri" w:eastAsia="Times New Roman" w:hAnsi="Calibri" w:cs="Calibri"/>
                <w:sz w:val="20"/>
                <w:szCs w:val="20"/>
                <w:lang w:eastAsia="en-GB"/>
              </w:rPr>
            </w:pPr>
            <w:r w:rsidRPr="0069400E">
              <w:rPr>
                <w:rFonts w:ascii="Calibri" w:eastAsia="Times New Roman" w:hAnsi="Calibri" w:cs="Calibri"/>
                <w:sz w:val="20"/>
                <w:szCs w:val="20"/>
                <w:lang w:eastAsia="en-GB"/>
              </w:rPr>
              <w:t>Return to Constitutional Standards: Diagnostics</w:t>
            </w:r>
          </w:p>
        </w:tc>
        <w:tc>
          <w:tcPr>
            <w:tcW w:w="817" w:type="dxa"/>
            <w:tcBorders>
              <w:top w:val="nil"/>
              <w:left w:val="nil"/>
              <w:bottom w:val="single" w:sz="4" w:space="0" w:color="auto"/>
              <w:right w:val="single" w:sz="4" w:space="0" w:color="auto"/>
            </w:tcBorders>
            <w:shd w:val="clear" w:color="auto" w:fill="auto"/>
            <w:vAlign w:val="center"/>
            <w:hideMark/>
          </w:tcPr>
          <w:p w14:paraId="63DD10AE" w14:textId="77777777" w:rsidR="0069400E" w:rsidRPr="0069400E" w:rsidRDefault="0069400E" w:rsidP="0069400E">
            <w:pPr>
              <w:spacing w:after="0" w:line="240" w:lineRule="auto"/>
              <w:rPr>
                <w:rFonts w:ascii="Calibri" w:eastAsia="Times New Roman" w:hAnsi="Calibri" w:cs="Calibri"/>
                <w:sz w:val="20"/>
                <w:szCs w:val="20"/>
                <w:lang w:eastAsia="en-GB"/>
              </w:rPr>
            </w:pPr>
            <w:r w:rsidRPr="0069400E">
              <w:rPr>
                <w:rFonts w:ascii="Calibri" w:eastAsia="Times New Roman" w:hAnsi="Calibri" w:cs="Calibri"/>
                <w:sz w:val="20"/>
                <w:szCs w:val="20"/>
                <w:lang w:eastAsia="en-GB"/>
              </w:rPr>
              <w:t> </w:t>
            </w:r>
          </w:p>
        </w:tc>
        <w:tc>
          <w:tcPr>
            <w:tcW w:w="693" w:type="dxa"/>
            <w:tcBorders>
              <w:top w:val="nil"/>
              <w:left w:val="nil"/>
              <w:bottom w:val="single" w:sz="4" w:space="0" w:color="auto"/>
              <w:right w:val="single" w:sz="4" w:space="0" w:color="auto"/>
            </w:tcBorders>
            <w:shd w:val="clear" w:color="auto" w:fill="auto"/>
            <w:vAlign w:val="center"/>
            <w:hideMark/>
          </w:tcPr>
          <w:p w14:paraId="32D5CC43" w14:textId="77777777" w:rsidR="0069400E" w:rsidRPr="0069400E" w:rsidRDefault="0069400E" w:rsidP="0069400E">
            <w:pPr>
              <w:spacing w:after="0" w:line="240" w:lineRule="auto"/>
              <w:jc w:val="right"/>
              <w:rPr>
                <w:rFonts w:ascii="Calibri" w:eastAsia="Times New Roman" w:hAnsi="Calibri" w:cs="Calibri"/>
                <w:sz w:val="20"/>
                <w:szCs w:val="20"/>
                <w:lang w:eastAsia="en-GB"/>
              </w:rPr>
            </w:pPr>
            <w:r w:rsidRPr="0069400E">
              <w:rPr>
                <w:rFonts w:ascii="Calibri" w:eastAsia="Times New Roman" w:hAnsi="Calibri" w:cs="Calibri"/>
                <w:sz w:val="20"/>
                <w:szCs w:val="20"/>
                <w:lang w:eastAsia="en-GB"/>
              </w:rPr>
              <w:t>9.0</w:t>
            </w:r>
          </w:p>
        </w:tc>
        <w:tc>
          <w:tcPr>
            <w:tcW w:w="809" w:type="dxa"/>
            <w:tcBorders>
              <w:top w:val="nil"/>
              <w:left w:val="nil"/>
              <w:bottom w:val="single" w:sz="4" w:space="0" w:color="auto"/>
              <w:right w:val="single" w:sz="4" w:space="0" w:color="auto"/>
            </w:tcBorders>
            <w:shd w:val="clear" w:color="auto" w:fill="auto"/>
            <w:vAlign w:val="center"/>
            <w:hideMark/>
          </w:tcPr>
          <w:p w14:paraId="4F09F324" w14:textId="77777777" w:rsidR="0069400E" w:rsidRPr="0069400E" w:rsidRDefault="0069400E" w:rsidP="0069400E">
            <w:pPr>
              <w:spacing w:after="0" w:line="240" w:lineRule="auto"/>
              <w:jc w:val="right"/>
              <w:rPr>
                <w:rFonts w:ascii="Calibri" w:eastAsia="Times New Roman" w:hAnsi="Calibri" w:cs="Calibri"/>
                <w:sz w:val="20"/>
                <w:szCs w:val="20"/>
                <w:lang w:eastAsia="en-GB"/>
              </w:rPr>
            </w:pPr>
            <w:r w:rsidRPr="0069400E">
              <w:rPr>
                <w:rFonts w:ascii="Calibri" w:eastAsia="Times New Roman" w:hAnsi="Calibri" w:cs="Calibri"/>
                <w:sz w:val="20"/>
                <w:szCs w:val="20"/>
                <w:lang w:eastAsia="en-GB"/>
              </w:rPr>
              <w:t>0.2</w:t>
            </w:r>
          </w:p>
        </w:tc>
        <w:tc>
          <w:tcPr>
            <w:tcW w:w="807" w:type="dxa"/>
            <w:tcBorders>
              <w:top w:val="nil"/>
              <w:left w:val="nil"/>
              <w:bottom w:val="single" w:sz="4" w:space="0" w:color="auto"/>
              <w:right w:val="single" w:sz="8" w:space="0" w:color="auto"/>
            </w:tcBorders>
            <w:shd w:val="clear" w:color="auto" w:fill="auto"/>
            <w:vAlign w:val="center"/>
            <w:hideMark/>
          </w:tcPr>
          <w:p w14:paraId="4BC18CE3" w14:textId="77777777" w:rsidR="0069400E" w:rsidRPr="0069400E" w:rsidRDefault="0069400E" w:rsidP="0069400E">
            <w:pPr>
              <w:spacing w:after="0" w:line="240" w:lineRule="auto"/>
              <w:rPr>
                <w:rFonts w:ascii="Calibri" w:eastAsia="Times New Roman" w:hAnsi="Calibri" w:cs="Calibri"/>
                <w:sz w:val="20"/>
                <w:szCs w:val="20"/>
                <w:lang w:eastAsia="en-GB"/>
              </w:rPr>
            </w:pPr>
            <w:r w:rsidRPr="0069400E">
              <w:rPr>
                <w:rFonts w:ascii="Calibri" w:eastAsia="Times New Roman" w:hAnsi="Calibri" w:cs="Calibri"/>
                <w:sz w:val="20"/>
                <w:szCs w:val="20"/>
                <w:lang w:eastAsia="en-GB"/>
              </w:rPr>
              <w:t> </w:t>
            </w:r>
          </w:p>
        </w:tc>
        <w:tc>
          <w:tcPr>
            <w:tcW w:w="943" w:type="dxa"/>
            <w:tcBorders>
              <w:top w:val="nil"/>
              <w:left w:val="nil"/>
              <w:bottom w:val="nil"/>
              <w:right w:val="nil"/>
            </w:tcBorders>
            <w:shd w:val="clear" w:color="000000" w:fill="D9D9D9"/>
            <w:noWrap/>
            <w:vAlign w:val="center"/>
            <w:hideMark/>
          </w:tcPr>
          <w:p w14:paraId="5B46AE04" w14:textId="77777777" w:rsidR="0069400E" w:rsidRPr="0069400E" w:rsidRDefault="0069400E" w:rsidP="0069400E">
            <w:pPr>
              <w:spacing w:after="0" w:line="240" w:lineRule="auto"/>
              <w:jc w:val="right"/>
              <w:rPr>
                <w:rFonts w:ascii="Calibri" w:eastAsia="Times New Roman" w:hAnsi="Calibri" w:cs="Calibri"/>
                <w:b/>
                <w:bCs/>
                <w:sz w:val="20"/>
                <w:szCs w:val="20"/>
                <w:lang w:eastAsia="en-GB"/>
              </w:rPr>
            </w:pPr>
            <w:r w:rsidRPr="0069400E">
              <w:rPr>
                <w:rFonts w:ascii="Calibri" w:eastAsia="Times New Roman" w:hAnsi="Calibri" w:cs="Calibri"/>
                <w:b/>
                <w:bCs/>
                <w:sz w:val="20"/>
                <w:szCs w:val="20"/>
                <w:lang w:eastAsia="en-GB"/>
              </w:rPr>
              <w:t>9.2</w:t>
            </w:r>
          </w:p>
        </w:tc>
        <w:tc>
          <w:tcPr>
            <w:tcW w:w="6428" w:type="dxa"/>
            <w:tcBorders>
              <w:top w:val="nil"/>
              <w:left w:val="single" w:sz="8" w:space="0" w:color="auto"/>
              <w:bottom w:val="single" w:sz="4" w:space="0" w:color="auto"/>
              <w:right w:val="single" w:sz="8" w:space="0" w:color="auto"/>
            </w:tcBorders>
            <w:shd w:val="clear" w:color="auto" w:fill="auto"/>
            <w:vAlign w:val="center"/>
            <w:hideMark/>
          </w:tcPr>
          <w:p w14:paraId="418EA938" w14:textId="77777777" w:rsidR="0069400E" w:rsidRPr="0069400E" w:rsidRDefault="0069400E" w:rsidP="0069400E">
            <w:pPr>
              <w:spacing w:after="0" w:line="240" w:lineRule="auto"/>
              <w:rPr>
                <w:rFonts w:ascii="Calibri" w:eastAsia="Times New Roman" w:hAnsi="Calibri" w:cs="Calibri"/>
                <w:sz w:val="20"/>
                <w:szCs w:val="20"/>
                <w:lang w:eastAsia="en-GB"/>
              </w:rPr>
            </w:pPr>
            <w:r w:rsidRPr="0069400E">
              <w:rPr>
                <w:rFonts w:ascii="Calibri" w:eastAsia="Times New Roman" w:hAnsi="Calibri" w:cs="Calibri"/>
                <w:sz w:val="20"/>
                <w:szCs w:val="20"/>
                <w:lang w:eastAsia="en-GB"/>
              </w:rPr>
              <w:t>This includes £2m for completion of the Nottingham City CDC scheme from 24/25 and £7m for expansion of this CDC.</w:t>
            </w:r>
          </w:p>
        </w:tc>
      </w:tr>
      <w:tr w:rsidR="0069400E" w:rsidRPr="0069400E" w14:paraId="712E8EF7" w14:textId="77777777" w:rsidTr="00960987">
        <w:trPr>
          <w:trHeight w:val="527"/>
        </w:trPr>
        <w:tc>
          <w:tcPr>
            <w:tcW w:w="2127" w:type="dxa"/>
            <w:tcBorders>
              <w:top w:val="nil"/>
              <w:left w:val="single" w:sz="8" w:space="0" w:color="auto"/>
              <w:bottom w:val="single" w:sz="4" w:space="0" w:color="auto"/>
              <w:right w:val="single" w:sz="8" w:space="0" w:color="auto"/>
            </w:tcBorders>
            <w:shd w:val="clear" w:color="auto" w:fill="auto"/>
            <w:vAlign w:val="center"/>
            <w:hideMark/>
          </w:tcPr>
          <w:p w14:paraId="79826DDE" w14:textId="77777777" w:rsidR="0069400E" w:rsidRPr="00A031CF" w:rsidRDefault="0069400E" w:rsidP="0069400E">
            <w:pPr>
              <w:spacing w:after="0" w:line="240" w:lineRule="auto"/>
              <w:rPr>
                <w:rFonts w:ascii="Calibri" w:eastAsia="Times New Roman" w:hAnsi="Calibri" w:cs="Calibri"/>
                <w:sz w:val="20"/>
                <w:szCs w:val="20"/>
                <w:lang w:eastAsia="en-GB"/>
              </w:rPr>
            </w:pPr>
            <w:r w:rsidRPr="00A031CF">
              <w:rPr>
                <w:rFonts w:ascii="Calibri" w:eastAsia="Times New Roman" w:hAnsi="Calibri" w:cs="Calibri"/>
                <w:sz w:val="20"/>
                <w:szCs w:val="20"/>
                <w:lang w:eastAsia="en-GB"/>
              </w:rPr>
              <w:t>Pending approval following NHSE panel</w:t>
            </w:r>
          </w:p>
        </w:tc>
        <w:tc>
          <w:tcPr>
            <w:tcW w:w="3536" w:type="dxa"/>
            <w:tcBorders>
              <w:top w:val="nil"/>
              <w:left w:val="nil"/>
              <w:bottom w:val="single" w:sz="4" w:space="0" w:color="auto"/>
              <w:right w:val="single" w:sz="8" w:space="0" w:color="auto"/>
            </w:tcBorders>
            <w:shd w:val="clear" w:color="auto" w:fill="auto"/>
            <w:noWrap/>
            <w:vAlign w:val="center"/>
            <w:hideMark/>
          </w:tcPr>
          <w:p w14:paraId="1BBDD1DD" w14:textId="77777777" w:rsidR="0069400E" w:rsidRPr="0069400E" w:rsidRDefault="0069400E" w:rsidP="0069400E">
            <w:pPr>
              <w:spacing w:after="0" w:line="240" w:lineRule="auto"/>
              <w:rPr>
                <w:rFonts w:ascii="Calibri" w:eastAsia="Times New Roman" w:hAnsi="Calibri" w:cs="Calibri"/>
                <w:sz w:val="20"/>
                <w:szCs w:val="20"/>
                <w:lang w:eastAsia="en-GB"/>
              </w:rPr>
            </w:pPr>
            <w:r w:rsidRPr="0069400E">
              <w:rPr>
                <w:rFonts w:ascii="Calibri" w:eastAsia="Times New Roman" w:hAnsi="Calibri" w:cs="Calibri"/>
                <w:sz w:val="20"/>
                <w:szCs w:val="20"/>
                <w:lang w:eastAsia="en-GB"/>
              </w:rPr>
              <w:t>Return to Constitutional Standards: Elective</w:t>
            </w:r>
          </w:p>
        </w:tc>
        <w:tc>
          <w:tcPr>
            <w:tcW w:w="817" w:type="dxa"/>
            <w:tcBorders>
              <w:top w:val="single" w:sz="4" w:space="0" w:color="auto"/>
              <w:left w:val="nil"/>
              <w:bottom w:val="single" w:sz="4" w:space="0" w:color="auto"/>
              <w:right w:val="single" w:sz="4" w:space="0" w:color="auto"/>
            </w:tcBorders>
            <w:shd w:val="clear" w:color="auto" w:fill="auto"/>
            <w:vAlign w:val="center"/>
            <w:hideMark/>
          </w:tcPr>
          <w:p w14:paraId="5C28DAA2" w14:textId="77777777" w:rsidR="0069400E" w:rsidRPr="0069400E" w:rsidRDefault="0069400E" w:rsidP="0069400E">
            <w:pPr>
              <w:spacing w:after="0" w:line="240" w:lineRule="auto"/>
              <w:rPr>
                <w:rFonts w:ascii="Calibri" w:eastAsia="Times New Roman" w:hAnsi="Calibri" w:cs="Calibri"/>
                <w:sz w:val="20"/>
                <w:szCs w:val="20"/>
                <w:lang w:eastAsia="en-GB"/>
              </w:rPr>
            </w:pPr>
            <w:r w:rsidRPr="0069400E">
              <w:rPr>
                <w:rFonts w:ascii="Calibri" w:eastAsia="Times New Roman" w:hAnsi="Calibri" w:cs="Calibri"/>
                <w:sz w:val="20"/>
                <w:szCs w:val="20"/>
                <w:lang w:eastAsia="en-GB"/>
              </w:rPr>
              <w:t> </w:t>
            </w:r>
          </w:p>
        </w:tc>
        <w:tc>
          <w:tcPr>
            <w:tcW w:w="693" w:type="dxa"/>
            <w:tcBorders>
              <w:top w:val="single" w:sz="4" w:space="0" w:color="auto"/>
              <w:left w:val="nil"/>
              <w:bottom w:val="single" w:sz="4" w:space="0" w:color="auto"/>
              <w:right w:val="single" w:sz="4" w:space="0" w:color="auto"/>
            </w:tcBorders>
            <w:shd w:val="clear" w:color="auto" w:fill="auto"/>
            <w:vAlign w:val="center"/>
            <w:hideMark/>
          </w:tcPr>
          <w:p w14:paraId="26586068" w14:textId="77777777" w:rsidR="0069400E" w:rsidRPr="0069400E" w:rsidRDefault="0069400E" w:rsidP="0069400E">
            <w:pPr>
              <w:spacing w:after="0" w:line="240" w:lineRule="auto"/>
              <w:jc w:val="right"/>
              <w:rPr>
                <w:rFonts w:ascii="Calibri" w:eastAsia="Times New Roman" w:hAnsi="Calibri" w:cs="Calibri"/>
                <w:sz w:val="20"/>
                <w:szCs w:val="20"/>
                <w:lang w:eastAsia="en-GB"/>
              </w:rPr>
            </w:pPr>
            <w:r w:rsidRPr="0069400E">
              <w:rPr>
                <w:rFonts w:ascii="Calibri" w:eastAsia="Times New Roman" w:hAnsi="Calibri" w:cs="Calibri"/>
                <w:sz w:val="20"/>
                <w:szCs w:val="20"/>
                <w:lang w:eastAsia="en-GB"/>
              </w:rPr>
              <w:t>9.4</w:t>
            </w:r>
          </w:p>
        </w:tc>
        <w:tc>
          <w:tcPr>
            <w:tcW w:w="809" w:type="dxa"/>
            <w:tcBorders>
              <w:top w:val="single" w:sz="4" w:space="0" w:color="auto"/>
              <w:left w:val="nil"/>
              <w:bottom w:val="single" w:sz="4" w:space="0" w:color="auto"/>
              <w:right w:val="single" w:sz="4" w:space="0" w:color="auto"/>
            </w:tcBorders>
            <w:shd w:val="clear" w:color="auto" w:fill="auto"/>
            <w:vAlign w:val="center"/>
            <w:hideMark/>
          </w:tcPr>
          <w:p w14:paraId="27772A4F" w14:textId="77777777" w:rsidR="0069400E" w:rsidRPr="0069400E" w:rsidRDefault="0069400E" w:rsidP="0069400E">
            <w:pPr>
              <w:spacing w:after="0" w:line="240" w:lineRule="auto"/>
              <w:jc w:val="right"/>
              <w:rPr>
                <w:rFonts w:ascii="Calibri" w:eastAsia="Times New Roman" w:hAnsi="Calibri" w:cs="Calibri"/>
                <w:sz w:val="20"/>
                <w:szCs w:val="20"/>
                <w:lang w:eastAsia="en-GB"/>
              </w:rPr>
            </w:pPr>
            <w:r w:rsidRPr="0069400E">
              <w:rPr>
                <w:rFonts w:ascii="Calibri" w:eastAsia="Times New Roman" w:hAnsi="Calibri" w:cs="Calibri"/>
                <w:sz w:val="20"/>
                <w:szCs w:val="20"/>
                <w:lang w:eastAsia="en-GB"/>
              </w:rPr>
              <w:t>0.9</w:t>
            </w:r>
          </w:p>
        </w:tc>
        <w:tc>
          <w:tcPr>
            <w:tcW w:w="807" w:type="dxa"/>
            <w:tcBorders>
              <w:top w:val="single" w:sz="4" w:space="0" w:color="auto"/>
              <w:left w:val="nil"/>
              <w:bottom w:val="single" w:sz="4" w:space="0" w:color="auto"/>
              <w:right w:val="single" w:sz="8" w:space="0" w:color="auto"/>
            </w:tcBorders>
            <w:shd w:val="clear" w:color="auto" w:fill="auto"/>
            <w:vAlign w:val="center"/>
            <w:hideMark/>
          </w:tcPr>
          <w:p w14:paraId="219ED8D7" w14:textId="77777777" w:rsidR="0069400E" w:rsidRPr="0069400E" w:rsidRDefault="0069400E" w:rsidP="0069400E">
            <w:pPr>
              <w:spacing w:after="0" w:line="240" w:lineRule="auto"/>
              <w:rPr>
                <w:rFonts w:ascii="Calibri" w:eastAsia="Times New Roman" w:hAnsi="Calibri" w:cs="Calibri"/>
                <w:sz w:val="20"/>
                <w:szCs w:val="20"/>
                <w:lang w:eastAsia="en-GB"/>
              </w:rPr>
            </w:pPr>
            <w:r w:rsidRPr="0069400E">
              <w:rPr>
                <w:rFonts w:ascii="Calibri" w:eastAsia="Times New Roman" w:hAnsi="Calibri" w:cs="Calibri"/>
                <w:sz w:val="20"/>
                <w:szCs w:val="20"/>
                <w:lang w:eastAsia="en-GB"/>
              </w:rPr>
              <w:t> </w:t>
            </w:r>
          </w:p>
        </w:tc>
        <w:tc>
          <w:tcPr>
            <w:tcW w:w="943" w:type="dxa"/>
            <w:tcBorders>
              <w:top w:val="nil"/>
              <w:left w:val="nil"/>
              <w:bottom w:val="nil"/>
              <w:right w:val="nil"/>
            </w:tcBorders>
            <w:shd w:val="clear" w:color="000000" w:fill="D9D9D9"/>
            <w:noWrap/>
            <w:vAlign w:val="center"/>
            <w:hideMark/>
          </w:tcPr>
          <w:p w14:paraId="65F17629" w14:textId="77777777" w:rsidR="0069400E" w:rsidRPr="0069400E" w:rsidRDefault="0069400E" w:rsidP="0069400E">
            <w:pPr>
              <w:spacing w:after="0" w:line="240" w:lineRule="auto"/>
              <w:jc w:val="right"/>
              <w:rPr>
                <w:rFonts w:ascii="Calibri" w:eastAsia="Times New Roman" w:hAnsi="Calibri" w:cs="Calibri"/>
                <w:b/>
                <w:bCs/>
                <w:sz w:val="20"/>
                <w:szCs w:val="20"/>
                <w:lang w:eastAsia="en-GB"/>
              </w:rPr>
            </w:pPr>
            <w:r w:rsidRPr="0069400E">
              <w:rPr>
                <w:rFonts w:ascii="Calibri" w:eastAsia="Times New Roman" w:hAnsi="Calibri" w:cs="Calibri"/>
                <w:b/>
                <w:bCs/>
                <w:sz w:val="20"/>
                <w:szCs w:val="20"/>
                <w:lang w:eastAsia="en-GB"/>
              </w:rPr>
              <w:t>10.3</w:t>
            </w:r>
          </w:p>
        </w:tc>
        <w:tc>
          <w:tcPr>
            <w:tcW w:w="6428" w:type="dxa"/>
            <w:tcBorders>
              <w:top w:val="nil"/>
              <w:left w:val="single" w:sz="8" w:space="0" w:color="auto"/>
              <w:bottom w:val="single" w:sz="4" w:space="0" w:color="auto"/>
              <w:right w:val="single" w:sz="8" w:space="0" w:color="auto"/>
            </w:tcBorders>
            <w:shd w:val="clear" w:color="auto" w:fill="auto"/>
            <w:vAlign w:val="center"/>
            <w:hideMark/>
          </w:tcPr>
          <w:p w14:paraId="7B4EFCBA" w14:textId="77777777" w:rsidR="0069400E" w:rsidRPr="0069400E" w:rsidRDefault="0069400E" w:rsidP="0069400E">
            <w:pPr>
              <w:spacing w:after="0" w:line="240" w:lineRule="auto"/>
              <w:rPr>
                <w:rFonts w:ascii="Calibri" w:eastAsia="Times New Roman" w:hAnsi="Calibri" w:cs="Calibri"/>
                <w:sz w:val="20"/>
                <w:szCs w:val="20"/>
                <w:lang w:eastAsia="en-GB"/>
              </w:rPr>
            </w:pPr>
            <w:r w:rsidRPr="0069400E">
              <w:rPr>
                <w:rFonts w:ascii="Calibri" w:eastAsia="Times New Roman" w:hAnsi="Calibri" w:cs="Calibri"/>
                <w:sz w:val="20"/>
                <w:szCs w:val="20"/>
                <w:lang w:eastAsia="en-GB"/>
              </w:rPr>
              <w:t>This includes £6m for completion of the 24/25 Elective Surgical Scheme at Nottingham City Hospital.</w:t>
            </w:r>
          </w:p>
        </w:tc>
      </w:tr>
      <w:tr w:rsidR="0069400E" w:rsidRPr="0069400E" w14:paraId="5C90B39A" w14:textId="77777777" w:rsidTr="00960987">
        <w:trPr>
          <w:trHeight w:val="662"/>
        </w:trPr>
        <w:tc>
          <w:tcPr>
            <w:tcW w:w="2127" w:type="dxa"/>
            <w:tcBorders>
              <w:top w:val="nil"/>
              <w:left w:val="single" w:sz="8" w:space="0" w:color="auto"/>
              <w:bottom w:val="single" w:sz="8" w:space="0" w:color="auto"/>
              <w:right w:val="single" w:sz="8" w:space="0" w:color="auto"/>
            </w:tcBorders>
            <w:shd w:val="clear" w:color="auto" w:fill="auto"/>
            <w:vAlign w:val="center"/>
            <w:hideMark/>
          </w:tcPr>
          <w:p w14:paraId="2B6D47DF" w14:textId="77777777" w:rsidR="0069400E" w:rsidRPr="00A031CF" w:rsidRDefault="0069400E" w:rsidP="0069400E">
            <w:pPr>
              <w:spacing w:after="0" w:line="240" w:lineRule="auto"/>
              <w:rPr>
                <w:rFonts w:ascii="Calibri" w:eastAsia="Times New Roman" w:hAnsi="Calibri" w:cs="Calibri"/>
                <w:sz w:val="20"/>
                <w:szCs w:val="20"/>
                <w:lang w:eastAsia="en-GB"/>
              </w:rPr>
            </w:pPr>
            <w:r w:rsidRPr="00A031CF">
              <w:rPr>
                <w:rFonts w:ascii="Calibri" w:eastAsia="Times New Roman" w:hAnsi="Calibri" w:cs="Calibri"/>
                <w:sz w:val="20"/>
                <w:szCs w:val="20"/>
                <w:lang w:eastAsia="en-GB"/>
              </w:rPr>
              <w:t>Pending approval following NHSE panel</w:t>
            </w:r>
          </w:p>
        </w:tc>
        <w:tc>
          <w:tcPr>
            <w:tcW w:w="3536" w:type="dxa"/>
            <w:tcBorders>
              <w:top w:val="nil"/>
              <w:left w:val="nil"/>
              <w:bottom w:val="single" w:sz="8" w:space="0" w:color="auto"/>
              <w:right w:val="single" w:sz="8" w:space="0" w:color="auto"/>
            </w:tcBorders>
            <w:shd w:val="clear" w:color="auto" w:fill="auto"/>
            <w:noWrap/>
            <w:vAlign w:val="center"/>
            <w:hideMark/>
          </w:tcPr>
          <w:p w14:paraId="1A6B11BA" w14:textId="77777777" w:rsidR="0069400E" w:rsidRPr="0069400E" w:rsidRDefault="0069400E" w:rsidP="0069400E">
            <w:pPr>
              <w:spacing w:after="0" w:line="240" w:lineRule="auto"/>
              <w:rPr>
                <w:rFonts w:ascii="Calibri" w:eastAsia="Times New Roman" w:hAnsi="Calibri" w:cs="Calibri"/>
                <w:sz w:val="20"/>
                <w:szCs w:val="20"/>
                <w:lang w:eastAsia="en-GB"/>
              </w:rPr>
            </w:pPr>
            <w:r w:rsidRPr="0069400E">
              <w:rPr>
                <w:rFonts w:ascii="Calibri" w:eastAsia="Times New Roman" w:hAnsi="Calibri" w:cs="Calibri"/>
                <w:sz w:val="20"/>
                <w:szCs w:val="20"/>
                <w:lang w:eastAsia="en-GB"/>
              </w:rPr>
              <w:t>Return to Constitutional Standards: Urgent &amp; Emergency Care</w:t>
            </w:r>
          </w:p>
        </w:tc>
        <w:tc>
          <w:tcPr>
            <w:tcW w:w="817" w:type="dxa"/>
            <w:tcBorders>
              <w:top w:val="single" w:sz="4" w:space="0" w:color="auto"/>
              <w:left w:val="nil"/>
              <w:bottom w:val="single" w:sz="8" w:space="0" w:color="auto"/>
              <w:right w:val="single" w:sz="4" w:space="0" w:color="auto"/>
            </w:tcBorders>
            <w:shd w:val="clear" w:color="auto" w:fill="auto"/>
            <w:vAlign w:val="center"/>
            <w:hideMark/>
          </w:tcPr>
          <w:p w14:paraId="1893CCA3" w14:textId="77777777" w:rsidR="0069400E" w:rsidRPr="0069400E" w:rsidRDefault="0069400E" w:rsidP="0069400E">
            <w:pPr>
              <w:spacing w:after="0" w:line="240" w:lineRule="auto"/>
              <w:rPr>
                <w:rFonts w:ascii="Calibri" w:eastAsia="Times New Roman" w:hAnsi="Calibri" w:cs="Calibri"/>
                <w:sz w:val="20"/>
                <w:szCs w:val="20"/>
                <w:lang w:eastAsia="en-GB"/>
              </w:rPr>
            </w:pPr>
            <w:r w:rsidRPr="0069400E">
              <w:rPr>
                <w:rFonts w:ascii="Calibri" w:eastAsia="Times New Roman" w:hAnsi="Calibri" w:cs="Calibri"/>
                <w:sz w:val="20"/>
                <w:szCs w:val="20"/>
                <w:lang w:eastAsia="en-GB"/>
              </w:rPr>
              <w:t> </w:t>
            </w:r>
          </w:p>
        </w:tc>
        <w:tc>
          <w:tcPr>
            <w:tcW w:w="693" w:type="dxa"/>
            <w:tcBorders>
              <w:top w:val="single" w:sz="4" w:space="0" w:color="auto"/>
              <w:left w:val="nil"/>
              <w:bottom w:val="single" w:sz="8" w:space="0" w:color="auto"/>
              <w:right w:val="single" w:sz="4" w:space="0" w:color="auto"/>
            </w:tcBorders>
            <w:shd w:val="clear" w:color="auto" w:fill="auto"/>
            <w:vAlign w:val="center"/>
            <w:hideMark/>
          </w:tcPr>
          <w:p w14:paraId="791E484D" w14:textId="77777777" w:rsidR="0069400E" w:rsidRPr="0069400E" w:rsidRDefault="0069400E" w:rsidP="0069400E">
            <w:pPr>
              <w:spacing w:after="0" w:line="240" w:lineRule="auto"/>
              <w:jc w:val="right"/>
              <w:rPr>
                <w:rFonts w:ascii="Calibri" w:eastAsia="Times New Roman" w:hAnsi="Calibri" w:cs="Calibri"/>
                <w:sz w:val="20"/>
                <w:szCs w:val="20"/>
                <w:lang w:eastAsia="en-GB"/>
              </w:rPr>
            </w:pPr>
            <w:r w:rsidRPr="0069400E">
              <w:rPr>
                <w:rFonts w:ascii="Calibri" w:eastAsia="Times New Roman" w:hAnsi="Calibri" w:cs="Calibri"/>
                <w:sz w:val="20"/>
                <w:szCs w:val="20"/>
                <w:lang w:eastAsia="en-GB"/>
              </w:rPr>
              <w:t>11.8</w:t>
            </w:r>
          </w:p>
        </w:tc>
        <w:tc>
          <w:tcPr>
            <w:tcW w:w="809" w:type="dxa"/>
            <w:tcBorders>
              <w:top w:val="single" w:sz="4" w:space="0" w:color="auto"/>
              <w:left w:val="nil"/>
              <w:bottom w:val="single" w:sz="8" w:space="0" w:color="auto"/>
              <w:right w:val="single" w:sz="4" w:space="0" w:color="auto"/>
            </w:tcBorders>
            <w:shd w:val="clear" w:color="auto" w:fill="auto"/>
            <w:vAlign w:val="center"/>
            <w:hideMark/>
          </w:tcPr>
          <w:p w14:paraId="19C8AFEE" w14:textId="77777777" w:rsidR="0069400E" w:rsidRPr="0069400E" w:rsidRDefault="0069400E" w:rsidP="0069400E">
            <w:pPr>
              <w:spacing w:after="0" w:line="240" w:lineRule="auto"/>
              <w:jc w:val="right"/>
              <w:rPr>
                <w:rFonts w:ascii="Calibri" w:eastAsia="Times New Roman" w:hAnsi="Calibri" w:cs="Calibri"/>
                <w:sz w:val="20"/>
                <w:szCs w:val="20"/>
                <w:lang w:eastAsia="en-GB"/>
              </w:rPr>
            </w:pPr>
            <w:r w:rsidRPr="0069400E">
              <w:rPr>
                <w:rFonts w:ascii="Calibri" w:eastAsia="Times New Roman" w:hAnsi="Calibri" w:cs="Calibri"/>
                <w:sz w:val="20"/>
                <w:szCs w:val="20"/>
                <w:lang w:eastAsia="en-GB"/>
              </w:rPr>
              <w:t>5.0</w:t>
            </w:r>
          </w:p>
        </w:tc>
        <w:tc>
          <w:tcPr>
            <w:tcW w:w="807" w:type="dxa"/>
            <w:tcBorders>
              <w:top w:val="single" w:sz="4" w:space="0" w:color="auto"/>
              <w:left w:val="nil"/>
              <w:bottom w:val="single" w:sz="8" w:space="0" w:color="auto"/>
              <w:right w:val="single" w:sz="8" w:space="0" w:color="auto"/>
            </w:tcBorders>
            <w:shd w:val="clear" w:color="auto" w:fill="auto"/>
            <w:vAlign w:val="center"/>
            <w:hideMark/>
          </w:tcPr>
          <w:p w14:paraId="4311FDF9" w14:textId="77777777" w:rsidR="0069400E" w:rsidRPr="0069400E" w:rsidRDefault="0069400E" w:rsidP="0069400E">
            <w:pPr>
              <w:spacing w:after="0" w:line="240" w:lineRule="auto"/>
              <w:rPr>
                <w:rFonts w:ascii="Calibri" w:eastAsia="Times New Roman" w:hAnsi="Calibri" w:cs="Calibri"/>
                <w:sz w:val="20"/>
                <w:szCs w:val="20"/>
                <w:lang w:eastAsia="en-GB"/>
              </w:rPr>
            </w:pPr>
            <w:r w:rsidRPr="0069400E">
              <w:rPr>
                <w:rFonts w:ascii="Calibri" w:eastAsia="Times New Roman" w:hAnsi="Calibri" w:cs="Calibri"/>
                <w:sz w:val="20"/>
                <w:szCs w:val="20"/>
                <w:lang w:eastAsia="en-GB"/>
              </w:rPr>
              <w:t> </w:t>
            </w:r>
          </w:p>
        </w:tc>
        <w:tc>
          <w:tcPr>
            <w:tcW w:w="943" w:type="dxa"/>
            <w:tcBorders>
              <w:top w:val="nil"/>
              <w:left w:val="nil"/>
              <w:bottom w:val="nil"/>
              <w:right w:val="nil"/>
            </w:tcBorders>
            <w:shd w:val="clear" w:color="000000" w:fill="D9D9D9"/>
            <w:noWrap/>
            <w:vAlign w:val="center"/>
            <w:hideMark/>
          </w:tcPr>
          <w:p w14:paraId="2449225C" w14:textId="77777777" w:rsidR="0069400E" w:rsidRPr="0069400E" w:rsidRDefault="0069400E" w:rsidP="0069400E">
            <w:pPr>
              <w:spacing w:after="0" w:line="240" w:lineRule="auto"/>
              <w:jc w:val="right"/>
              <w:rPr>
                <w:rFonts w:ascii="Calibri" w:eastAsia="Times New Roman" w:hAnsi="Calibri" w:cs="Calibri"/>
                <w:b/>
                <w:bCs/>
                <w:sz w:val="20"/>
                <w:szCs w:val="20"/>
                <w:lang w:eastAsia="en-GB"/>
              </w:rPr>
            </w:pPr>
            <w:r w:rsidRPr="0069400E">
              <w:rPr>
                <w:rFonts w:ascii="Calibri" w:eastAsia="Times New Roman" w:hAnsi="Calibri" w:cs="Calibri"/>
                <w:b/>
                <w:bCs/>
                <w:sz w:val="20"/>
                <w:szCs w:val="20"/>
                <w:lang w:eastAsia="en-GB"/>
              </w:rPr>
              <w:t>16.8</w:t>
            </w:r>
          </w:p>
        </w:tc>
        <w:tc>
          <w:tcPr>
            <w:tcW w:w="6428" w:type="dxa"/>
            <w:tcBorders>
              <w:top w:val="nil"/>
              <w:left w:val="single" w:sz="8" w:space="0" w:color="auto"/>
              <w:bottom w:val="single" w:sz="8" w:space="0" w:color="auto"/>
              <w:right w:val="single" w:sz="8" w:space="0" w:color="auto"/>
            </w:tcBorders>
            <w:shd w:val="clear" w:color="auto" w:fill="auto"/>
            <w:vAlign w:val="center"/>
            <w:hideMark/>
          </w:tcPr>
          <w:p w14:paraId="24B7E24A" w14:textId="77777777" w:rsidR="0069400E" w:rsidRPr="0069400E" w:rsidRDefault="0069400E" w:rsidP="0069400E">
            <w:pPr>
              <w:spacing w:after="0" w:line="240" w:lineRule="auto"/>
              <w:rPr>
                <w:rFonts w:ascii="Calibri" w:eastAsia="Times New Roman" w:hAnsi="Calibri" w:cs="Calibri"/>
                <w:sz w:val="20"/>
                <w:szCs w:val="20"/>
                <w:lang w:eastAsia="en-GB"/>
              </w:rPr>
            </w:pPr>
            <w:r w:rsidRPr="0069400E">
              <w:rPr>
                <w:rFonts w:ascii="Calibri" w:eastAsia="Times New Roman" w:hAnsi="Calibri" w:cs="Calibri"/>
                <w:sz w:val="20"/>
                <w:szCs w:val="20"/>
                <w:lang w:eastAsia="en-GB"/>
              </w:rPr>
              <w:t>This includes £7m for the new co-located UTD at Queens Medical Centre and £5m for new SDEC at Queens Medical Centre.</w:t>
            </w:r>
          </w:p>
        </w:tc>
      </w:tr>
      <w:tr w:rsidR="00D6097B" w:rsidRPr="0069400E" w14:paraId="40F33147" w14:textId="77777777" w:rsidTr="0069400E">
        <w:trPr>
          <w:trHeight w:val="287"/>
        </w:trPr>
        <w:tc>
          <w:tcPr>
            <w:tcW w:w="2127" w:type="dxa"/>
            <w:tcBorders>
              <w:top w:val="nil"/>
              <w:left w:val="single" w:sz="8" w:space="0" w:color="auto"/>
              <w:bottom w:val="single" w:sz="8" w:space="0" w:color="auto"/>
              <w:right w:val="single" w:sz="8" w:space="0" w:color="auto"/>
            </w:tcBorders>
            <w:shd w:val="clear" w:color="000000" w:fill="D9D9D9"/>
            <w:noWrap/>
            <w:vAlign w:val="center"/>
            <w:hideMark/>
          </w:tcPr>
          <w:p w14:paraId="313CF4D7" w14:textId="77777777" w:rsidR="0069400E" w:rsidRPr="0069400E" w:rsidRDefault="0069400E" w:rsidP="0069400E">
            <w:pPr>
              <w:spacing w:after="0" w:line="240" w:lineRule="auto"/>
              <w:rPr>
                <w:rFonts w:ascii="Calibri" w:eastAsia="Times New Roman" w:hAnsi="Calibri" w:cs="Calibri"/>
                <w:b/>
                <w:bCs/>
                <w:sz w:val="20"/>
                <w:szCs w:val="20"/>
                <w:lang w:eastAsia="en-GB"/>
              </w:rPr>
            </w:pPr>
            <w:r w:rsidRPr="0069400E">
              <w:rPr>
                <w:rFonts w:ascii="Calibri" w:eastAsia="Times New Roman" w:hAnsi="Calibri" w:cs="Calibri"/>
                <w:b/>
                <w:bCs/>
                <w:sz w:val="20"/>
                <w:szCs w:val="20"/>
                <w:lang w:eastAsia="en-GB"/>
              </w:rPr>
              <w:t> </w:t>
            </w:r>
          </w:p>
        </w:tc>
        <w:tc>
          <w:tcPr>
            <w:tcW w:w="3536" w:type="dxa"/>
            <w:tcBorders>
              <w:top w:val="nil"/>
              <w:left w:val="nil"/>
              <w:bottom w:val="single" w:sz="8" w:space="0" w:color="auto"/>
              <w:right w:val="single" w:sz="8" w:space="0" w:color="auto"/>
            </w:tcBorders>
            <w:shd w:val="clear" w:color="000000" w:fill="D9D9D9"/>
            <w:noWrap/>
            <w:vAlign w:val="center"/>
            <w:hideMark/>
          </w:tcPr>
          <w:p w14:paraId="0A89BCEB" w14:textId="43846321" w:rsidR="0069400E" w:rsidRPr="0069400E" w:rsidRDefault="0069400E" w:rsidP="0069400E">
            <w:pPr>
              <w:spacing w:after="0" w:line="240" w:lineRule="auto"/>
              <w:rPr>
                <w:rFonts w:ascii="Calibri" w:eastAsia="Times New Roman" w:hAnsi="Calibri" w:cs="Calibri"/>
                <w:b/>
                <w:bCs/>
                <w:sz w:val="20"/>
                <w:szCs w:val="20"/>
                <w:lang w:eastAsia="en-GB"/>
              </w:rPr>
            </w:pPr>
            <w:r>
              <w:rPr>
                <w:rFonts w:ascii="Calibri" w:eastAsia="Times New Roman" w:hAnsi="Calibri" w:cs="Calibri"/>
                <w:b/>
                <w:bCs/>
                <w:sz w:val="20"/>
                <w:szCs w:val="20"/>
                <w:lang w:eastAsia="en-GB"/>
              </w:rPr>
              <w:t>Sub Total Return to Constitution Standards</w:t>
            </w:r>
          </w:p>
        </w:tc>
        <w:tc>
          <w:tcPr>
            <w:tcW w:w="817" w:type="dxa"/>
            <w:tcBorders>
              <w:top w:val="nil"/>
              <w:left w:val="nil"/>
              <w:bottom w:val="single" w:sz="8" w:space="0" w:color="auto"/>
              <w:right w:val="single" w:sz="4" w:space="0" w:color="auto"/>
            </w:tcBorders>
            <w:shd w:val="clear" w:color="000000" w:fill="D9D9D9"/>
            <w:noWrap/>
            <w:vAlign w:val="center"/>
            <w:hideMark/>
          </w:tcPr>
          <w:p w14:paraId="61212A8F" w14:textId="77777777" w:rsidR="0069400E" w:rsidRPr="0069400E" w:rsidRDefault="0069400E" w:rsidP="0069400E">
            <w:pPr>
              <w:spacing w:after="0" w:line="240" w:lineRule="auto"/>
              <w:jc w:val="right"/>
              <w:rPr>
                <w:rFonts w:ascii="Calibri" w:eastAsia="Times New Roman" w:hAnsi="Calibri" w:cs="Calibri"/>
                <w:b/>
                <w:bCs/>
                <w:sz w:val="20"/>
                <w:szCs w:val="20"/>
                <w:lang w:eastAsia="en-GB"/>
              </w:rPr>
            </w:pPr>
            <w:r w:rsidRPr="0069400E">
              <w:rPr>
                <w:rFonts w:ascii="Calibri" w:eastAsia="Times New Roman" w:hAnsi="Calibri" w:cs="Calibri"/>
                <w:b/>
                <w:bCs/>
                <w:sz w:val="20"/>
                <w:szCs w:val="20"/>
                <w:lang w:eastAsia="en-GB"/>
              </w:rPr>
              <w:t>0.0</w:t>
            </w:r>
          </w:p>
        </w:tc>
        <w:tc>
          <w:tcPr>
            <w:tcW w:w="693" w:type="dxa"/>
            <w:tcBorders>
              <w:top w:val="nil"/>
              <w:left w:val="single" w:sz="8" w:space="0" w:color="auto"/>
              <w:bottom w:val="single" w:sz="8" w:space="0" w:color="auto"/>
              <w:right w:val="single" w:sz="4" w:space="0" w:color="auto"/>
            </w:tcBorders>
            <w:shd w:val="clear" w:color="000000" w:fill="D9D9D9"/>
            <w:noWrap/>
            <w:vAlign w:val="center"/>
            <w:hideMark/>
          </w:tcPr>
          <w:p w14:paraId="506A89B6" w14:textId="77777777" w:rsidR="0069400E" w:rsidRPr="0069400E" w:rsidRDefault="0069400E" w:rsidP="0069400E">
            <w:pPr>
              <w:spacing w:after="0" w:line="240" w:lineRule="auto"/>
              <w:jc w:val="right"/>
              <w:rPr>
                <w:rFonts w:ascii="Calibri" w:eastAsia="Times New Roman" w:hAnsi="Calibri" w:cs="Calibri"/>
                <w:b/>
                <w:bCs/>
                <w:sz w:val="20"/>
                <w:szCs w:val="20"/>
                <w:lang w:eastAsia="en-GB"/>
              </w:rPr>
            </w:pPr>
            <w:r w:rsidRPr="0069400E">
              <w:rPr>
                <w:rFonts w:ascii="Calibri" w:eastAsia="Times New Roman" w:hAnsi="Calibri" w:cs="Calibri"/>
                <w:b/>
                <w:bCs/>
                <w:sz w:val="20"/>
                <w:szCs w:val="20"/>
                <w:lang w:eastAsia="en-GB"/>
              </w:rPr>
              <w:t>30.2</w:t>
            </w:r>
          </w:p>
        </w:tc>
        <w:tc>
          <w:tcPr>
            <w:tcW w:w="809" w:type="dxa"/>
            <w:tcBorders>
              <w:top w:val="nil"/>
              <w:left w:val="single" w:sz="8" w:space="0" w:color="auto"/>
              <w:bottom w:val="single" w:sz="8" w:space="0" w:color="auto"/>
              <w:right w:val="single" w:sz="4" w:space="0" w:color="auto"/>
            </w:tcBorders>
            <w:shd w:val="clear" w:color="000000" w:fill="D9D9D9"/>
            <w:noWrap/>
            <w:vAlign w:val="center"/>
            <w:hideMark/>
          </w:tcPr>
          <w:p w14:paraId="2231FC30" w14:textId="77777777" w:rsidR="0069400E" w:rsidRPr="0069400E" w:rsidRDefault="0069400E" w:rsidP="0069400E">
            <w:pPr>
              <w:spacing w:after="0" w:line="240" w:lineRule="auto"/>
              <w:jc w:val="right"/>
              <w:rPr>
                <w:rFonts w:ascii="Calibri" w:eastAsia="Times New Roman" w:hAnsi="Calibri" w:cs="Calibri"/>
                <w:b/>
                <w:bCs/>
                <w:sz w:val="20"/>
                <w:szCs w:val="20"/>
                <w:lang w:eastAsia="en-GB"/>
              </w:rPr>
            </w:pPr>
            <w:r w:rsidRPr="0069400E">
              <w:rPr>
                <w:rFonts w:ascii="Calibri" w:eastAsia="Times New Roman" w:hAnsi="Calibri" w:cs="Calibri"/>
                <w:b/>
                <w:bCs/>
                <w:sz w:val="20"/>
                <w:szCs w:val="20"/>
                <w:lang w:eastAsia="en-GB"/>
              </w:rPr>
              <w:t>6.1</w:t>
            </w:r>
          </w:p>
        </w:tc>
        <w:tc>
          <w:tcPr>
            <w:tcW w:w="807" w:type="dxa"/>
            <w:tcBorders>
              <w:top w:val="nil"/>
              <w:left w:val="single" w:sz="8" w:space="0" w:color="auto"/>
              <w:bottom w:val="single" w:sz="8" w:space="0" w:color="auto"/>
              <w:right w:val="single" w:sz="4" w:space="0" w:color="auto"/>
            </w:tcBorders>
            <w:shd w:val="clear" w:color="000000" w:fill="D9D9D9"/>
            <w:noWrap/>
            <w:vAlign w:val="center"/>
            <w:hideMark/>
          </w:tcPr>
          <w:p w14:paraId="72A47495" w14:textId="77777777" w:rsidR="0069400E" w:rsidRPr="0069400E" w:rsidRDefault="0069400E" w:rsidP="0069400E">
            <w:pPr>
              <w:spacing w:after="0" w:line="240" w:lineRule="auto"/>
              <w:jc w:val="right"/>
              <w:rPr>
                <w:rFonts w:ascii="Calibri" w:eastAsia="Times New Roman" w:hAnsi="Calibri" w:cs="Calibri"/>
                <w:b/>
                <w:bCs/>
                <w:sz w:val="20"/>
                <w:szCs w:val="20"/>
                <w:lang w:eastAsia="en-GB"/>
              </w:rPr>
            </w:pPr>
            <w:r w:rsidRPr="0069400E">
              <w:rPr>
                <w:rFonts w:ascii="Calibri" w:eastAsia="Times New Roman" w:hAnsi="Calibri" w:cs="Calibri"/>
                <w:b/>
                <w:bCs/>
                <w:sz w:val="20"/>
                <w:szCs w:val="20"/>
                <w:lang w:eastAsia="en-GB"/>
              </w:rPr>
              <w:t>0.0</w:t>
            </w:r>
          </w:p>
        </w:tc>
        <w:tc>
          <w:tcPr>
            <w:tcW w:w="943" w:type="dxa"/>
            <w:tcBorders>
              <w:top w:val="single" w:sz="8" w:space="0" w:color="auto"/>
              <w:left w:val="single" w:sz="8" w:space="0" w:color="auto"/>
              <w:bottom w:val="single" w:sz="8" w:space="0" w:color="auto"/>
              <w:right w:val="nil"/>
            </w:tcBorders>
            <w:shd w:val="clear" w:color="000000" w:fill="D9D9D9"/>
            <w:noWrap/>
            <w:vAlign w:val="center"/>
            <w:hideMark/>
          </w:tcPr>
          <w:p w14:paraId="2A196C58" w14:textId="77777777" w:rsidR="0069400E" w:rsidRPr="0069400E" w:rsidRDefault="0069400E" w:rsidP="0069400E">
            <w:pPr>
              <w:spacing w:after="0" w:line="240" w:lineRule="auto"/>
              <w:jc w:val="right"/>
              <w:rPr>
                <w:rFonts w:ascii="Calibri" w:eastAsia="Times New Roman" w:hAnsi="Calibri" w:cs="Calibri"/>
                <w:b/>
                <w:bCs/>
                <w:sz w:val="20"/>
                <w:szCs w:val="20"/>
                <w:lang w:eastAsia="en-GB"/>
              </w:rPr>
            </w:pPr>
            <w:r w:rsidRPr="0069400E">
              <w:rPr>
                <w:rFonts w:ascii="Calibri" w:eastAsia="Times New Roman" w:hAnsi="Calibri" w:cs="Calibri"/>
                <w:b/>
                <w:bCs/>
                <w:sz w:val="20"/>
                <w:szCs w:val="20"/>
                <w:lang w:eastAsia="en-GB"/>
              </w:rPr>
              <w:t>36.3</w:t>
            </w:r>
          </w:p>
        </w:tc>
        <w:tc>
          <w:tcPr>
            <w:tcW w:w="6428" w:type="dxa"/>
            <w:tcBorders>
              <w:top w:val="nil"/>
              <w:left w:val="single" w:sz="8" w:space="0" w:color="auto"/>
              <w:bottom w:val="single" w:sz="8" w:space="0" w:color="auto"/>
              <w:right w:val="single" w:sz="8" w:space="0" w:color="auto"/>
            </w:tcBorders>
            <w:shd w:val="clear" w:color="000000" w:fill="D9D9D9"/>
            <w:noWrap/>
            <w:vAlign w:val="center"/>
            <w:hideMark/>
          </w:tcPr>
          <w:p w14:paraId="2C5E3B52" w14:textId="77777777" w:rsidR="0069400E" w:rsidRPr="0069400E" w:rsidRDefault="0069400E" w:rsidP="0069400E">
            <w:pPr>
              <w:spacing w:after="0" w:line="240" w:lineRule="auto"/>
              <w:rPr>
                <w:rFonts w:ascii="Calibri" w:eastAsia="Times New Roman" w:hAnsi="Calibri" w:cs="Calibri"/>
                <w:b/>
                <w:bCs/>
                <w:sz w:val="20"/>
                <w:szCs w:val="20"/>
                <w:lang w:eastAsia="en-GB"/>
              </w:rPr>
            </w:pPr>
            <w:r w:rsidRPr="0069400E">
              <w:rPr>
                <w:rFonts w:ascii="Calibri" w:eastAsia="Times New Roman" w:hAnsi="Calibri" w:cs="Calibri"/>
                <w:b/>
                <w:bCs/>
                <w:sz w:val="20"/>
                <w:szCs w:val="20"/>
                <w:lang w:eastAsia="en-GB"/>
              </w:rPr>
              <w:t> </w:t>
            </w:r>
          </w:p>
        </w:tc>
      </w:tr>
      <w:tr w:rsidR="0069400E" w:rsidRPr="0069400E" w14:paraId="4BC7781B" w14:textId="77777777" w:rsidTr="00960987">
        <w:trPr>
          <w:trHeight w:val="287"/>
        </w:trPr>
        <w:tc>
          <w:tcPr>
            <w:tcW w:w="2127" w:type="dxa"/>
            <w:tcBorders>
              <w:top w:val="nil"/>
              <w:left w:val="nil"/>
              <w:bottom w:val="nil"/>
              <w:right w:val="nil"/>
            </w:tcBorders>
            <w:shd w:val="clear" w:color="auto" w:fill="auto"/>
            <w:noWrap/>
            <w:vAlign w:val="bottom"/>
            <w:hideMark/>
          </w:tcPr>
          <w:p w14:paraId="175246B6" w14:textId="77777777" w:rsidR="0069400E" w:rsidRPr="0069400E" w:rsidRDefault="0069400E" w:rsidP="0069400E">
            <w:pPr>
              <w:spacing w:after="0" w:line="240" w:lineRule="auto"/>
              <w:rPr>
                <w:rFonts w:ascii="Calibri" w:eastAsia="Times New Roman" w:hAnsi="Calibri" w:cs="Calibri"/>
                <w:b/>
                <w:bCs/>
                <w:sz w:val="20"/>
                <w:szCs w:val="20"/>
                <w:lang w:eastAsia="en-GB"/>
              </w:rPr>
            </w:pPr>
          </w:p>
        </w:tc>
        <w:tc>
          <w:tcPr>
            <w:tcW w:w="3536" w:type="dxa"/>
            <w:tcBorders>
              <w:top w:val="nil"/>
              <w:left w:val="single" w:sz="8" w:space="0" w:color="auto"/>
              <w:bottom w:val="single" w:sz="8" w:space="0" w:color="auto"/>
              <w:right w:val="single" w:sz="8" w:space="0" w:color="auto"/>
            </w:tcBorders>
            <w:shd w:val="clear" w:color="000000" w:fill="D9D9D9"/>
            <w:noWrap/>
            <w:vAlign w:val="center"/>
            <w:hideMark/>
          </w:tcPr>
          <w:p w14:paraId="4A6F7441" w14:textId="46782295" w:rsidR="0069400E" w:rsidRPr="0069400E" w:rsidRDefault="0069400E" w:rsidP="0069400E">
            <w:pPr>
              <w:spacing w:after="0" w:line="240" w:lineRule="auto"/>
              <w:rPr>
                <w:rFonts w:ascii="Calibri" w:eastAsia="Times New Roman" w:hAnsi="Calibri" w:cs="Calibri"/>
                <w:b/>
                <w:bCs/>
                <w:sz w:val="20"/>
                <w:szCs w:val="20"/>
                <w:lang w:eastAsia="en-GB"/>
              </w:rPr>
            </w:pPr>
            <w:r w:rsidRPr="0069400E">
              <w:rPr>
                <w:rFonts w:ascii="Calibri" w:eastAsia="Times New Roman" w:hAnsi="Calibri" w:cs="Calibri"/>
                <w:b/>
                <w:bCs/>
                <w:sz w:val="20"/>
                <w:szCs w:val="20"/>
                <w:lang w:eastAsia="en-GB"/>
              </w:rPr>
              <w:t>Total System CDEL &amp; ICB Capital</w:t>
            </w:r>
          </w:p>
        </w:tc>
        <w:tc>
          <w:tcPr>
            <w:tcW w:w="817" w:type="dxa"/>
            <w:tcBorders>
              <w:top w:val="nil"/>
              <w:left w:val="nil"/>
              <w:bottom w:val="single" w:sz="8" w:space="0" w:color="auto"/>
              <w:right w:val="single" w:sz="4" w:space="0" w:color="auto"/>
            </w:tcBorders>
            <w:shd w:val="clear" w:color="000000" w:fill="D9D9D9"/>
            <w:noWrap/>
            <w:vAlign w:val="center"/>
            <w:hideMark/>
          </w:tcPr>
          <w:p w14:paraId="30CBCE09" w14:textId="77777777" w:rsidR="0069400E" w:rsidRPr="0069400E" w:rsidRDefault="0069400E" w:rsidP="0069400E">
            <w:pPr>
              <w:spacing w:after="0" w:line="240" w:lineRule="auto"/>
              <w:jc w:val="right"/>
              <w:rPr>
                <w:rFonts w:ascii="Calibri" w:eastAsia="Times New Roman" w:hAnsi="Calibri" w:cs="Calibri"/>
                <w:b/>
                <w:bCs/>
                <w:sz w:val="20"/>
                <w:szCs w:val="20"/>
                <w:lang w:eastAsia="en-GB"/>
              </w:rPr>
            </w:pPr>
            <w:r w:rsidRPr="0069400E">
              <w:rPr>
                <w:rFonts w:ascii="Calibri" w:eastAsia="Times New Roman" w:hAnsi="Calibri" w:cs="Calibri"/>
                <w:b/>
                <w:bCs/>
                <w:sz w:val="20"/>
                <w:szCs w:val="20"/>
                <w:lang w:eastAsia="en-GB"/>
              </w:rPr>
              <w:t>4.6</w:t>
            </w:r>
          </w:p>
        </w:tc>
        <w:tc>
          <w:tcPr>
            <w:tcW w:w="693" w:type="dxa"/>
            <w:tcBorders>
              <w:top w:val="nil"/>
              <w:left w:val="single" w:sz="8" w:space="0" w:color="auto"/>
              <w:bottom w:val="single" w:sz="8" w:space="0" w:color="auto"/>
              <w:right w:val="single" w:sz="4" w:space="0" w:color="auto"/>
            </w:tcBorders>
            <w:shd w:val="clear" w:color="000000" w:fill="D9D9D9"/>
            <w:noWrap/>
            <w:vAlign w:val="center"/>
            <w:hideMark/>
          </w:tcPr>
          <w:p w14:paraId="15AC02BE" w14:textId="77777777" w:rsidR="0069400E" w:rsidRPr="0069400E" w:rsidRDefault="0069400E" w:rsidP="0069400E">
            <w:pPr>
              <w:spacing w:after="0" w:line="240" w:lineRule="auto"/>
              <w:jc w:val="right"/>
              <w:rPr>
                <w:rFonts w:ascii="Calibri" w:eastAsia="Times New Roman" w:hAnsi="Calibri" w:cs="Calibri"/>
                <w:b/>
                <w:bCs/>
                <w:sz w:val="20"/>
                <w:szCs w:val="20"/>
                <w:lang w:eastAsia="en-GB"/>
              </w:rPr>
            </w:pPr>
            <w:r w:rsidRPr="0069400E">
              <w:rPr>
                <w:rFonts w:ascii="Calibri" w:eastAsia="Times New Roman" w:hAnsi="Calibri" w:cs="Calibri"/>
                <w:b/>
                <w:bCs/>
                <w:sz w:val="20"/>
                <w:szCs w:val="20"/>
                <w:lang w:eastAsia="en-GB"/>
              </w:rPr>
              <w:t>107.6</w:t>
            </w:r>
          </w:p>
        </w:tc>
        <w:tc>
          <w:tcPr>
            <w:tcW w:w="809" w:type="dxa"/>
            <w:tcBorders>
              <w:top w:val="nil"/>
              <w:left w:val="single" w:sz="8" w:space="0" w:color="auto"/>
              <w:bottom w:val="single" w:sz="8" w:space="0" w:color="auto"/>
              <w:right w:val="single" w:sz="4" w:space="0" w:color="auto"/>
            </w:tcBorders>
            <w:shd w:val="clear" w:color="000000" w:fill="D9D9D9"/>
            <w:noWrap/>
            <w:vAlign w:val="center"/>
            <w:hideMark/>
          </w:tcPr>
          <w:p w14:paraId="02F1F3D7" w14:textId="77777777" w:rsidR="0069400E" w:rsidRPr="0069400E" w:rsidRDefault="0069400E" w:rsidP="0069400E">
            <w:pPr>
              <w:spacing w:after="0" w:line="240" w:lineRule="auto"/>
              <w:jc w:val="right"/>
              <w:rPr>
                <w:rFonts w:ascii="Calibri" w:eastAsia="Times New Roman" w:hAnsi="Calibri" w:cs="Calibri"/>
                <w:b/>
                <w:bCs/>
                <w:sz w:val="20"/>
                <w:szCs w:val="20"/>
                <w:lang w:eastAsia="en-GB"/>
              </w:rPr>
            </w:pPr>
            <w:r w:rsidRPr="0069400E">
              <w:rPr>
                <w:rFonts w:ascii="Calibri" w:eastAsia="Times New Roman" w:hAnsi="Calibri" w:cs="Calibri"/>
                <w:b/>
                <w:bCs/>
                <w:sz w:val="20"/>
                <w:szCs w:val="20"/>
                <w:lang w:eastAsia="en-GB"/>
              </w:rPr>
              <w:t>38.9</w:t>
            </w:r>
          </w:p>
        </w:tc>
        <w:tc>
          <w:tcPr>
            <w:tcW w:w="807" w:type="dxa"/>
            <w:tcBorders>
              <w:top w:val="nil"/>
              <w:left w:val="single" w:sz="8" w:space="0" w:color="auto"/>
              <w:bottom w:val="single" w:sz="8" w:space="0" w:color="auto"/>
              <w:right w:val="single" w:sz="4" w:space="0" w:color="auto"/>
            </w:tcBorders>
            <w:shd w:val="clear" w:color="000000" w:fill="D9D9D9"/>
            <w:noWrap/>
            <w:vAlign w:val="center"/>
            <w:hideMark/>
          </w:tcPr>
          <w:p w14:paraId="17243728" w14:textId="77777777" w:rsidR="0069400E" w:rsidRPr="0069400E" w:rsidRDefault="0069400E" w:rsidP="0069400E">
            <w:pPr>
              <w:spacing w:after="0" w:line="240" w:lineRule="auto"/>
              <w:jc w:val="right"/>
              <w:rPr>
                <w:rFonts w:ascii="Calibri" w:eastAsia="Times New Roman" w:hAnsi="Calibri" w:cs="Calibri"/>
                <w:b/>
                <w:bCs/>
                <w:sz w:val="20"/>
                <w:szCs w:val="20"/>
                <w:lang w:eastAsia="en-GB"/>
              </w:rPr>
            </w:pPr>
            <w:r w:rsidRPr="0069400E">
              <w:rPr>
                <w:rFonts w:ascii="Calibri" w:eastAsia="Times New Roman" w:hAnsi="Calibri" w:cs="Calibri"/>
                <w:b/>
                <w:bCs/>
                <w:sz w:val="20"/>
                <w:szCs w:val="20"/>
                <w:lang w:eastAsia="en-GB"/>
              </w:rPr>
              <w:t>20.2</w:t>
            </w:r>
          </w:p>
        </w:tc>
        <w:tc>
          <w:tcPr>
            <w:tcW w:w="943" w:type="dxa"/>
            <w:tcBorders>
              <w:top w:val="nil"/>
              <w:left w:val="single" w:sz="8" w:space="0" w:color="auto"/>
              <w:bottom w:val="single" w:sz="8" w:space="0" w:color="auto"/>
              <w:right w:val="single" w:sz="8" w:space="0" w:color="auto"/>
            </w:tcBorders>
            <w:shd w:val="clear" w:color="000000" w:fill="D9D9D9"/>
            <w:noWrap/>
            <w:vAlign w:val="center"/>
            <w:hideMark/>
          </w:tcPr>
          <w:p w14:paraId="6364A7EA" w14:textId="77777777" w:rsidR="0069400E" w:rsidRPr="0069400E" w:rsidRDefault="0069400E" w:rsidP="0069400E">
            <w:pPr>
              <w:spacing w:after="0" w:line="240" w:lineRule="auto"/>
              <w:jc w:val="right"/>
              <w:rPr>
                <w:rFonts w:ascii="Calibri" w:eastAsia="Times New Roman" w:hAnsi="Calibri" w:cs="Calibri"/>
                <w:b/>
                <w:bCs/>
                <w:sz w:val="20"/>
                <w:szCs w:val="20"/>
                <w:lang w:eastAsia="en-GB"/>
              </w:rPr>
            </w:pPr>
            <w:r w:rsidRPr="0069400E">
              <w:rPr>
                <w:rFonts w:ascii="Calibri" w:eastAsia="Times New Roman" w:hAnsi="Calibri" w:cs="Calibri"/>
                <w:b/>
                <w:bCs/>
                <w:sz w:val="20"/>
                <w:szCs w:val="20"/>
                <w:lang w:eastAsia="en-GB"/>
              </w:rPr>
              <w:t>171.4</w:t>
            </w:r>
          </w:p>
        </w:tc>
        <w:tc>
          <w:tcPr>
            <w:tcW w:w="6428" w:type="dxa"/>
            <w:tcBorders>
              <w:top w:val="nil"/>
              <w:left w:val="nil"/>
              <w:bottom w:val="nil"/>
              <w:right w:val="nil"/>
            </w:tcBorders>
            <w:shd w:val="clear" w:color="auto" w:fill="auto"/>
            <w:noWrap/>
            <w:vAlign w:val="bottom"/>
            <w:hideMark/>
          </w:tcPr>
          <w:p w14:paraId="278A9733" w14:textId="77777777" w:rsidR="0069400E" w:rsidRPr="0069400E" w:rsidRDefault="0069400E" w:rsidP="0069400E">
            <w:pPr>
              <w:spacing w:after="0" w:line="240" w:lineRule="auto"/>
              <w:jc w:val="right"/>
              <w:rPr>
                <w:rFonts w:ascii="Calibri" w:eastAsia="Times New Roman" w:hAnsi="Calibri" w:cs="Calibri"/>
                <w:b/>
                <w:bCs/>
                <w:sz w:val="20"/>
                <w:szCs w:val="20"/>
                <w:lang w:eastAsia="en-GB"/>
              </w:rPr>
            </w:pPr>
          </w:p>
        </w:tc>
      </w:tr>
    </w:tbl>
    <w:p w14:paraId="1CBD0162" w14:textId="77777777" w:rsidR="002C088C" w:rsidRPr="000458A0" w:rsidRDefault="002C088C" w:rsidP="00DE6F52">
      <w:pPr>
        <w:rPr>
          <w:b/>
          <w:bCs/>
          <w:color w:val="FF0000"/>
          <w:sz w:val="24"/>
          <w:szCs w:val="24"/>
        </w:rPr>
      </w:pPr>
    </w:p>
    <w:sectPr w:rsidR="002C088C" w:rsidRPr="000458A0" w:rsidSect="00960987">
      <w:pgSz w:w="16838" w:h="11906" w:orient="landscape"/>
      <w:pgMar w:top="709" w:right="1440" w:bottom="0"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86123B" w14:textId="77777777" w:rsidR="00914DA8" w:rsidRDefault="00914DA8" w:rsidP="006842C2">
      <w:pPr>
        <w:spacing w:after="0" w:line="240" w:lineRule="auto"/>
      </w:pPr>
      <w:r>
        <w:separator/>
      </w:r>
    </w:p>
  </w:endnote>
  <w:endnote w:type="continuationSeparator" w:id="0">
    <w:p w14:paraId="167C6D3C" w14:textId="77777777" w:rsidR="00914DA8" w:rsidRDefault="00914DA8" w:rsidP="006842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Narrow">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F4F4E0" w14:textId="77777777" w:rsidR="00914DA8" w:rsidRDefault="00914DA8" w:rsidP="006842C2">
      <w:pPr>
        <w:spacing w:after="0" w:line="240" w:lineRule="auto"/>
      </w:pPr>
      <w:r>
        <w:separator/>
      </w:r>
    </w:p>
  </w:footnote>
  <w:footnote w:type="continuationSeparator" w:id="0">
    <w:p w14:paraId="66DCEB8F" w14:textId="77777777" w:rsidR="00914DA8" w:rsidRDefault="00914DA8" w:rsidP="006842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79473" w14:textId="74DBE765" w:rsidR="000D3322" w:rsidRDefault="000D3322">
    <w:pPr>
      <w:pStyle w:val="Header"/>
    </w:pPr>
    <w:r w:rsidRPr="008F5763">
      <w:rPr>
        <w:b/>
        <w:bCs/>
        <w:noProof/>
        <w:color w:val="1F3864" w:themeColor="accent1" w:themeShade="80"/>
        <w:sz w:val="44"/>
        <w:szCs w:val="44"/>
        <w:lang w:eastAsia="en-GB"/>
      </w:rPr>
      <w:drawing>
        <wp:anchor distT="0" distB="0" distL="114300" distR="114300" simplePos="0" relativeHeight="251659264" behindDoc="0" locked="0" layoutInCell="1" allowOverlap="1" wp14:anchorId="3349014F" wp14:editId="224C9AA9">
          <wp:simplePos x="0" y="0"/>
          <wp:positionH relativeFrom="page">
            <wp:posOffset>8926195</wp:posOffset>
          </wp:positionH>
          <wp:positionV relativeFrom="topMargin">
            <wp:align>bottom</wp:align>
          </wp:positionV>
          <wp:extent cx="1413228" cy="574158"/>
          <wp:effectExtent l="0" t="0" r="0" b="0"/>
          <wp:wrapNone/>
          <wp:docPr id="2041418712" name="Picture 2041418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13228" cy="574158"/>
                  </a:xfrm>
                  <a:prstGeom prst="rect">
                    <a:avLst/>
                  </a:prstGeom>
                  <a:noFill/>
                </pic:spPr>
              </pic:pic>
            </a:graphicData>
          </a:graphic>
          <wp14:sizeRelH relativeFrom="margin">
            <wp14:pctWidth>0</wp14:pctWidth>
          </wp14:sizeRelH>
          <wp14:sizeRelV relativeFrom="margin">
            <wp14:pctHeight>0</wp14:pctHeight>
          </wp14:sizeRelV>
        </wp:anchor>
      </w:drawing>
    </w:r>
  </w:p>
  <w:p w14:paraId="7700A7A0" w14:textId="77777777" w:rsidR="006842C2" w:rsidRDefault="006842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96961"/>
    <w:multiLevelType w:val="hybridMultilevel"/>
    <w:tmpl w:val="D94CF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E639A5"/>
    <w:multiLevelType w:val="hybridMultilevel"/>
    <w:tmpl w:val="392260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D6055E"/>
    <w:multiLevelType w:val="hybridMultilevel"/>
    <w:tmpl w:val="3A3C75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A576459"/>
    <w:multiLevelType w:val="hybridMultilevel"/>
    <w:tmpl w:val="5DC25334"/>
    <w:lvl w:ilvl="0" w:tplc="A008F772">
      <w:numFmt w:val="bullet"/>
      <w:lvlText w:val="•"/>
      <w:lvlJc w:val="left"/>
      <w:pPr>
        <w:ind w:left="720" w:hanging="72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01C33E4"/>
    <w:multiLevelType w:val="hybridMultilevel"/>
    <w:tmpl w:val="02D4CC0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3B82E06"/>
    <w:multiLevelType w:val="multilevel"/>
    <w:tmpl w:val="3D08CF68"/>
    <w:name w:val="nhs_bullets"/>
    <w:styleLink w:val="NHSBullets"/>
    <w:lvl w:ilvl="0">
      <w:start w:val="1"/>
      <w:numFmt w:val="bullet"/>
      <w:pStyle w:val="ListBullet"/>
      <w:lvlText w:val=""/>
      <w:lvlJc w:val="left"/>
      <w:pPr>
        <w:tabs>
          <w:tab w:val="num" w:pos="2007"/>
        </w:tabs>
        <w:ind w:left="2291" w:hanging="284"/>
      </w:pPr>
      <w:rPr>
        <w:rFonts w:ascii="Symbol" w:hAnsi="Symbol" w:hint="default"/>
        <w:color w:val="005EB8"/>
      </w:rPr>
    </w:lvl>
    <w:lvl w:ilvl="1">
      <w:start w:val="1"/>
      <w:numFmt w:val="bullet"/>
      <w:pStyle w:val="ListBullet2"/>
      <w:lvlText w:val="‒"/>
      <w:lvlJc w:val="left"/>
      <w:pPr>
        <w:tabs>
          <w:tab w:val="num" w:pos="2574"/>
        </w:tabs>
        <w:ind w:left="2574" w:hanging="283"/>
      </w:pPr>
      <w:rPr>
        <w:rFonts w:ascii="Arial" w:hAnsi="Arial" w:hint="default"/>
        <w:color w:val="005EB8"/>
      </w:rPr>
    </w:lvl>
    <w:lvl w:ilvl="2">
      <w:start w:val="1"/>
      <w:numFmt w:val="bullet"/>
      <w:pStyle w:val="ListBullet3"/>
      <w:lvlText w:val=""/>
      <w:lvlJc w:val="left"/>
      <w:pPr>
        <w:tabs>
          <w:tab w:val="num" w:pos="2512"/>
        </w:tabs>
        <w:ind w:left="2483" w:hanging="329"/>
      </w:pPr>
      <w:rPr>
        <w:rFonts w:ascii="Symbol" w:hAnsi="Symbol" w:hint="default"/>
        <w:color w:val="auto"/>
      </w:rPr>
    </w:lvl>
    <w:lvl w:ilvl="3">
      <w:start w:val="1"/>
      <w:numFmt w:val="bullet"/>
      <w:pStyle w:val="ListBullet4"/>
      <w:lvlText w:val=""/>
      <w:lvlJc w:val="left"/>
      <w:pPr>
        <w:tabs>
          <w:tab w:val="num" w:pos="2869"/>
        </w:tabs>
        <w:ind w:left="2869" w:hanging="357"/>
      </w:pPr>
      <w:rPr>
        <w:rFonts w:ascii="Symbol" w:hAnsi="Symbol" w:hint="default"/>
        <w:color w:val="auto"/>
      </w:rPr>
    </w:lvl>
    <w:lvl w:ilvl="4">
      <w:start w:val="1"/>
      <w:numFmt w:val="bullet"/>
      <w:pStyle w:val="ListBullet5"/>
      <w:lvlText w:val=""/>
      <w:lvlJc w:val="left"/>
      <w:pPr>
        <w:tabs>
          <w:tab w:val="num" w:pos="3226"/>
        </w:tabs>
        <w:ind w:left="3226" w:hanging="357"/>
      </w:pPr>
      <w:rPr>
        <w:rFonts w:ascii="Symbol" w:hAnsi="Symbol" w:hint="default"/>
        <w:color w:val="auto"/>
      </w:rPr>
    </w:lvl>
    <w:lvl w:ilvl="5">
      <w:start w:val="1"/>
      <w:numFmt w:val="lowerRoman"/>
      <w:lvlText w:val="%6."/>
      <w:lvlJc w:val="right"/>
      <w:pPr>
        <w:ind w:left="5760" w:hanging="180"/>
      </w:pPr>
      <w:rPr>
        <w:rFonts w:hint="default"/>
      </w:rPr>
    </w:lvl>
    <w:lvl w:ilvl="6">
      <w:start w:val="1"/>
      <w:numFmt w:val="decimal"/>
      <w:lvlText w:val="%7."/>
      <w:lvlJc w:val="left"/>
      <w:pPr>
        <w:ind w:left="6480" w:hanging="360"/>
      </w:pPr>
      <w:rPr>
        <w:rFonts w:hint="default"/>
      </w:rPr>
    </w:lvl>
    <w:lvl w:ilvl="7">
      <w:start w:val="1"/>
      <w:numFmt w:val="lowerLetter"/>
      <w:lvlText w:val="%8."/>
      <w:lvlJc w:val="left"/>
      <w:pPr>
        <w:ind w:left="7200" w:hanging="360"/>
      </w:pPr>
      <w:rPr>
        <w:rFonts w:hint="default"/>
      </w:rPr>
    </w:lvl>
    <w:lvl w:ilvl="8">
      <w:start w:val="1"/>
      <w:numFmt w:val="lowerRoman"/>
      <w:lvlText w:val="%9."/>
      <w:lvlJc w:val="right"/>
      <w:pPr>
        <w:ind w:left="7920" w:hanging="180"/>
      </w:pPr>
      <w:rPr>
        <w:rFonts w:hint="default"/>
      </w:rPr>
    </w:lvl>
  </w:abstractNum>
  <w:abstractNum w:abstractNumId="6" w15:restartNumberingAfterBreak="0">
    <w:nsid w:val="1A531B24"/>
    <w:multiLevelType w:val="hybridMultilevel"/>
    <w:tmpl w:val="D34EEE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C551C3F"/>
    <w:multiLevelType w:val="hybridMultilevel"/>
    <w:tmpl w:val="9CE20598"/>
    <w:lvl w:ilvl="0" w:tplc="90FA4892">
      <w:numFmt w:val="bullet"/>
      <w:lvlText w:val="•"/>
      <w:lvlJc w:val="left"/>
      <w:pPr>
        <w:ind w:left="1440" w:hanging="72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C7F715C"/>
    <w:multiLevelType w:val="hybridMultilevel"/>
    <w:tmpl w:val="2CE8483C"/>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9" w15:restartNumberingAfterBreak="0">
    <w:nsid w:val="1DE105A5"/>
    <w:multiLevelType w:val="hybridMultilevel"/>
    <w:tmpl w:val="327E5BFA"/>
    <w:lvl w:ilvl="0" w:tplc="FC144AB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0F5C0F"/>
    <w:multiLevelType w:val="hybridMultilevel"/>
    <w:tmpl w:val="C8AAAE0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226A7587"/>
    <w:multiLevelType w:val="hybridMultilevel"/>
    <w:tmpl w:val="A9349A4A"/>
    <w:lvl w:ilvl="0" w:tplc="604C9AB6">
      <w:start w:val="1"/>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34B300F"/>
    <w:multiLevelType w:val="hybridMultilevel"/>
    <w:tmpl w:val="9ABC960E"/>
    <w:lvl w:ilvl="0" w:tplc="BAF00C9E">
      <w:numFmt w:val="bullet"/>
      <w:lvlText w:val="•"/>
      <w:lvlJc w:val="left"/>
      <w:pPr>
        <w:ind w:left="1080" w:hanging="360"/>
      </w:pPr>
      <w:rPr>
        <w:rFonts w:ascii="Calibri" w:eastAsia="Times New Roman" w:hAnsi="Calibri" w:cs="Calibri"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23CF6E61"/>
    <w:multiLevelType w:val="hybridMultilevel"/>
    <w:tmpl w:val="A9E2E1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3DC5DA4"/>
    <w:multiLevelType w:val="hybridMultilevel"/>
    <w:tmpl w:val="354CE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3F64A65"/>
    <w:multiLevelType w:val="hybridMultilevel"/>
    <w:tmpl w:val="7B803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4B8623D"/>
    <w:multiLevelType w:val="hybridMultilevel"/>
    <w:tmpl w:val="A6D6FA84"/>
    <w:lvl w:ilvl="0" w:tplc="E526A1B2">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8934201"/>
    <w:multiLevelType w:val="hybridMultilevel"/>
    <w:tmpl w:val="B62C586A"/>
    <w:lvl w:ilvl="0" w:tplc="A008F772">
      <w:numFmt w:val="bullet"/>
      <w:lvlText w:val="•"/>
      <w:lvlJc w:val="left"/>
      <w:pPr>
        <w:ind w:left="72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9833A7F"/>
    <w:multiLevelType w:val="hybridMultilevel"/>
    <w:tmpl w:val="8DFA2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EDD1B43"/>
    <w:multiLevelType w:val="hybridMultilevel"/>
    <w:tmpl w:val="44E43940"/>
    <w:lvl w:ilvl="0" w:tplc="90FA4892">
      <w:numFmt w:val="bullet"/>
      <w:lvlText w:val="•"/>
      <w:lvlJc w:val="left"/>
      <w:pPr>
        <w:ind w:left="1440" w:hanging="72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2F366582"/>
    <w:multiLevelType w:val="hybridMultilevel"/>
    <w:tmpl w:val="08A86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2300AD6"/>
    <w:multiLevelType w:val="hybridMultilevel"/>
    <w:tmpl w:val="C5F044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32E2203"/>
    <w:multiLevelType w:val="hybridMultilevel"/>
    <w:tmpl w:val="1D1E61C0"/>
    <w:lvl w:ilvl="0" w:tplc="EBDAB11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7DE7036"/>
    <w:multiLevelType w:val="hybridMultilevel"/>
    <w:tmpl w:val="3D10EA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3A1F0237"/>
    <w:multiLevelType w:val="hybridMultilevel"/>
    <w:tmpl w:val="794E4448"/>
    <w:lvl w:ilvl="0" w:tplc="90FA4892">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B3F2932"/>
    <w:multiLevelType w:val="hybridMultilevel"/>
    <w:tmpl w:val="E2A214E0"/>
    <w:lvl w:ilvl="0" w:tplc="AA7E4094">
      <w:numFmt w:val="bullet"/>
      <w:lvlText w:val="•"/>
      <w:lvlJc w:val="left"/>
      <w:pPr>
        <w:ind w:left="1440" w:hanging="72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3C611F1D"/>
    <w:multiLevelType w:val="hybridMultilevel"/>
    <w:tmpl w:val="9C889D0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420A3E5F"/>
    <w:multiLevelType w:val="hybridMultilevel"/>
    <w:tmpl w:val="D57A48F2"/>
    <w:lvl w:ilvl="0" w:tplc="CAE2C7A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28E0CD0"/>
    <w:multiLevelType w:val="hybridMultilevel"/>
    <w:tmpl w:val="4DCAB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34B451D"/>
    <w:multiLevelType w:val="hybridMultilevel"/>
    <w:tmpl w:val="63E2696E"/>
    <w:lvl w:ilvl="0" w:tplc="E526A1B2">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4C91930"/>
    <w:multiLevelType w:val="hybridMultilevel"/>
    <w:tmpl w:val="1DC450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B7B6690"/>
    <w:multiLevelType w:val="hybridMultilevel"/>
    <w:tmpl w:val="04B4A9C8"/>
    <w:lvl w:ilvl="0" w:tplc="08090011">
      <w:start w:val="1"/>
      <w:numFmt w:val="decimal"/>
      <w:lvlText w:val="%1)"/>
      <w:lvlJc w:val="left"/>
      <w:pPr>
        <w:ind w:left="720" w:hanging="360"/>
      </w:pPr>
      <w:rPr>
        <w:rFonts w:eastAsia="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E0735DE"/>
    <w:multiLevelType w:val="hybridMultilevel"/>
    <w:tmpl w:val="6B96F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1721A90"/>
    <w:multiLevelType w:val="hybridMultilevel"/>
    <w:tmpl w:val="6E427C14"/>
    <w:lvl w:ilvl="0" w:tplc="71AC7272">
      <w:start w:val="1"/>
      <w:numFmt w:val="decimal"/>
      <w:lvlText w:val="%1."/>
      <w:lvlJc w:val="left"/>
      <w:pPr>
        <w:ind w:left="360" w:hanging="360"/>
      </w:pPr>
    </w:lvl>
    <w:lvl w:ilvl="1" w:tplc="0610DC74">
      <w:start w:val="1"/>
      <w:numFmt w:val="lowerLetter"/>
      <w:lvlText w:val="%2."/>
      <w:lvlJc w:val="left"/>
      <w:pPr>
        <w:ind w:left="1440" w:hanging="360"/>
      </w:pPr>
    </w:lvl>
    <w:lvl w:ilvl="2" w:tplc="FBD6F450">
      <w:start w:val="1"/>
      <w:numFmt w:val="lowerRoman"/>
      <w:lvlText w:val="%3."/>
      <w:lvlJc w:val="right"/>
      <w:pPr>
        <w:ind w:left="2160" w:hanging="180"/>
      </w:pPr>
    </w:lvl>
    <w:lvl w:ilvl="3" w:tplc="47E0ACC6">
      <w:start w:val="1"/>
      <w:numFmt w:val="decimal"/>
      <w:lvlText w:val="%4."/>
      <w:lvlJc w:val="left"/>
      <w:pPr>
        <w:ind w:left="2880" w:hanging="360"/>
      </w:pPr>
    </w:lvl>
    <w:lvl w:ilvl="4" w:tplc="C49AE602">
      <w:start w:val="1"/>
      <w:numFmt w:val="lowerLetter"/>
      <w:lvlText w:val="%5."/>
      <w:lvlJc w:val="left"/>
      <w:pPr>
        <w:ind w:left="3600" w:hanging="360"/>
      </w:pPr>
    </w:lvl>
    <w:lvl w:ilvl="5" w:tplc="61E4C1F4">
      <w:start w:val="1"/>
      <w:numFmt w:val="lowerRoman"/>
      <w:lvlText w:val="%6."/>
      <w:lvlJc w:val="right"/>
      <w:pPr>
        <w:ind w:left="4320" w:hanging="180"/>
      </w:pPr>
    </w:lvl>
    <w:lvl w:ilvl="6" w:tplc="308239FE">
      <w:start w:val="1"/>
      <w:numFmt w:val="decimal"/>
      <w:lvlText w:val="%7."/>
      <w:lvlJc w:val="left"/>
      <w:pPr>
        <w:ind w:left="5040" w:hanging="360"/>
      </w:pPr>
    </w:lvl>
    <w:lvl w:ilvl="7" w:tplc="4C28FD00">
      <w:start w:val="1"/>
      <w:numFmt w:val="lowerLetter"/>
      <w:lvlText w:val="%8."/>
      <w:lvlJc w:val="left"/>
      <w:pPr>
        <w:ind w:left="5760" w:hanging="360"/>
      </w:pPr>
    </w:lvl>
    <w:lvl w:ilvl="8" w:tplc="7B04D44C">
      <w:start w:val="1"/>
      <w:numFmt w:val="lowerRoman"/>
      <w:lvlText w:val="%9."/>
      <w:lvlJc w:val="right"/>
      <w:pPr>
        <w:ind w:left="6480" w:hanging="180"/>
      </w:pPr>
    </w:lvl>
  </w:abstractNum>
  <w:abstractNum w:abstractNumId="34" w15:restartNumberingAfterBreak="0">
    <w:nsid w:val="540748AA"/>
    <w:multiLevelType w:val="hybridMultilevel"/>
    <w:tmpl w:val="E34A10F8"/>
    <w:lvl w:ilvl="0" w:tplc="90FA4892">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5AB5616"/>
    <w:multiLevelType w:val="hybridMultilevel"/>
    <w:tmpl w:val="95822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7D667DF"/>
    <w:multiLevelType w:val="hybridMultilevel"/>
    <w:tmpl w:val="6BE81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85B69CB"/>
    <w:multiLevelType w:val="hybridMultilevel"/>
    <w:tmpl w:val="BE78A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8D35A03"/>
    <w:multiLevelType w:val="hybridMultilevel"/>
    <w:tmpl w:val="C58C05C6"/>
    <w:lvl w:ilvl="0" w:tplc="EBDAB11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A4F4053"/>
    <w:multiLevelType w:val="hybridMultilevel"/>
    <w:tmpl w:val="F49A7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B842827"/>
    <w:multiLevelType w:val="hybridMultilevel"/>
    <w:tmpl w:val="34AC3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BFE67C3"/>
    <w:multiLevelType w:val="hybridMultilevel"/>
    <w:tmpl w:val="86C24200"/>
    <w:lvl w:ilvl="0" w:tplc="BAF00C9E">
      <w:numFmt w:val="bullet"/>
      <w:lvlText w:val="•"/>
      <w:lvlJc w:val="left"/>
      <w:pPr>
        <w:ind w:left="1080" w:hanging="72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D997C19"/>
    <w:multiLevelType w:val="hybridMultilevel"/>
    <w:tmpl w:val="64EE60CC"/>
    <w:lvl w:ilvl="0" w:tplc="FDA8DA72">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634934D7"/>
    <w:multiLevelType w:val="hybridMultilevel"/>
    <w:tmpl w:val="D9B6A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35C0C74"/>
    <w:multiLevelType w:val="hybridMultilevel"/>
    <w:tmpl w:val="F8243C5E"/>
    <w:lvl w:ilvl="0" w:tplc="AA7E4094">
      <w:numFmt w:val="bullet"/>
      <w:lvlText w:val="•"/>
      <w:lvlJc w:val="left"/>
      <w:pPr>
        <w:ind w:left="144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7FD1A53"/>
    <w:multiLevelType w:val="hybridMultilevel"/>
    <w:tmpl w:val="9A949D96"/>
    <w:lvl w:ilvl="0" w:tplc="EBDAB114">
      <w:start w:val="1"/>
      <w:numFmt w:val="bullet"/>
      <w:lvlText w:val=""/>
      <w:lvlJc w:val="left"/>
      <w:pPr>
        <w:ind w:left="720" w:hanging="360"/>
      </w:pPr>
      <w:rPr>
        <w:rFonts w:ascii="Symbol" w:hAnsi="Symbol" w:hint="default"/>
        <w:color w:val="auto"/>
      </w:rPr>
    </w:lvl>
    <w:lvl w:ilvl="1" w:tplc="B1A0EFFC">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9255E57"/>
    <w:multiLevelType w:val="hybridMultilevel"/>
    <w:tmpl w:val="88A832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36051969">
    <w:abstractNumId w:val="30"/>
  </w:num>
  <w:num w:numId="2" w16cid:durableId="2002417966">
    <w:abstractNumId w:val="11"/>
  </w:num>
  <w:num w:numId="3" w16cid:durableId="803424992">
    <w:abstractNumId w:val="31"/>
  </w:num>
  <w:num w:numId="4" w16cid:durableId="951208957">
    <w:abstractNumId w:val="33"/>
  </w:num>
  <w:num w:numId="5" w16cid:durableId="1784105803">
    <w:abstractNumId w:val="5"/>
  </w:num>
  <w:num w:numId="6" w16cid:durableId="1153789883">
    <w:abstractNumId w:val="40"/>
  </w:num>
  <w:num w:numId="7" w16cid:durableId="413940050">
    <w:abstractNumId w:val="9"/>
  </w:num>
  <w:num w:numId="8" w16cid:durableId="1244535766">
    <w:abstractNumId w:val="27"/>
  </w:num>
  <w:num w:numId="9" w16cid:durableId="529804694">
    <w:abstractNumId w:val="39"/>
  </w:num>
  <w:num w:numId="10" w16cid:durableId="431359767">
    <w:abstractNumId w:val="0"/>
  </w:num>
  <w:num w:numId="11" w16cid:durableId="732697373">
    <w:abstractNumId w:val="8"/>
  </w:num>
  <w:num w:numId="12" w16cid:durableId="188763819">
    <w:abstractNumId w:val="32"/>
  </w:num>
  <w:num w:numId="13" w16cid:durableId="1505902968">
    <w:abstractNumId w:val="46"/>
  </w:num>
  <w:num w:numId="14" w16cid:durableId="113867121">
    <w:abstractNumId w:val="15"/>
  </w:num>
  <w:num w:numId="15" w16cid:durableId="365104136">
    <w:abstractNumId w:val="20"/>
  </w:num>
  <w:num w:numId="16" w16cid:durableId="563418287">
    <w:abstractNumId w:val="28"/>
  </w:num>
  <w:num w:numId="17" w16cid:durableId="1129474123">
    <w:abstractNumId w:val="35"/>
  </w:num>
  <w:num w:numId="18" w16cid:durableId="320889447">
    <w:abstractNumId w:val="24"/>
  </w:num>
  <w:num w:numId="19" w16cid:durableId="1468088092">
    <w:abstractNumId w:val="45"/>
  </w:num>
  <w:num w:numId="20" w16cid:durableId="1003438294">
    <w:abstractNumId w:val="13"/>
  </w:num>
  <w:num w:numId="21" w16cid:durableId="1268587263">
    <w:abstractNumId w:val="43"/>
  </w:num>
  <w:num w:numId="22" w16cid:durableId="2110927725">
    <w:abstractNumId w:val="14"/>
  </w:num>
  <w:num w:numId="23" w16cid:durableId="1985310916">
    <w:abstractNumId w:val="37"/>
  </w:num>
  <w:num w:numId="24" w16cid:durableId="413205423">
    <w:abstractNumId w:val="42"/>
  </w:num>
  <w:num w:numId="25" w16cid:durableId="1759714215">
    <w:abstractNumId w:val="4"/>
  </w:num>
  <w:num w:numId="26" w16cid:durableId="1475951756">
    <w:abstractNumId w:val="6"/>
  </w:num>
  <w:num w:numId="27" w16cid:durableId="38751070">
    <w:abstractNumId w:val="10"/>
  </w:num>
  <w:num w:numId="28" w16cid:durableId="1630549192">
    <w:abstractNumId w:val="7"/>
  </w:num>
  <w:num w:numId="29" w16cid:durableId="2087724826">
    <w:abstractNumId w:val="34"/>
  </w:num>
  <w:num w:numId="30" w16cid:durableId="523055411">
    <w:abstractNumId w:val="19"/>
  </w:num>
  <w:num w:numId="31" w16cid:durableId="2049795069">
    <w:abstractNumId w:val="26"/>
  </w:num>
  <w:num w:numId="32" w16cid:durableId="1831171007">
    <w:abstractNumId w:val="21"/>
  </w:num>
  <w:num w:numId="33" w16cid:durableId="1979146433">
    <w:abstractNumId w:val="18"/>
  </w:num>
  <w:num w:numId="34" w16cid:durableId="1907761085">
    <w:abstractNumId w:val="25"/>
  </w:num>
  <w:num w:numId="35" w16cid:durableId="1782607344">
    <w:abstractNumId w:val="44"/>
  </w:num>
  <w:num w:numId="36" w16cid:durableId="1239636226">
    <w:abstractNumId w:val="38"/>
  </w:num>
  <w:num w:numId="37" w16cid:durableId="1470052050">
    <w:abstractNumId w:val="3"/>
  </w:num>
  <w:num w:numId="38" w16cid:durableId="1526290895">
    <w:abstractNumId w:val="17"/>
  </w:num>
  <w:num w:numId="39" w16cid:durableId="1882210375">
    <w:abstractNumId w:val="22"/>
  </w:num>
  <w:num w:numId="40" w16cid:durableId="497889148">
    <w:abstractNumId w:val="41"/>
  </w:num>
  <w:num w:numId="41" w16cid:durableId="271322332">
    <w:abstractNumId w:val="1"/>
  </w:num>
  <w:num w:numId="42" w16cid:durableId="1883250768">
    <w:abstractNumId w:val="12"/>
  </w:num>
  <w:num w:numId="43" w16cid:durableId="1670521791">
    <w:abstractNumId w:val="2"/>
  </w:num>
  <w:num w:numId="44" w16cid:durableId="1349060632">
    <w:abstractNumId w:val="23"/>
  </w:num>
  <w:num w:numId="45" w16cid:durableId="401098074">
    <w:abstractNumId w:val="36"/>
  </w:num>
  <w:num w:numId="46" w16cid:durableId="39481804">
    <w:abstractNumId w:val="16"/>
  </w:num>
  <w:num w:numId="47" w16cid:durableId="151696238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F1B"/>
    <w:rsid w:val="000070DD"/>
    <w:rsid w:val="000155D8"/>
    <w:rsid w:val="000216DD"/>
    <w:rsid w:val="00023C5E"/>
    <w:rsid w:val="000357A3"/>
    <w:rsid w:val="00036AD4"/>
    <w:rsid w:val="000458A0"/>
    <w:rsid w:val="00052FEE"/>
    <w:rsid w:val="00054115"/>
    <w:rsid w:val="000541E1"/>
    <w:rsid w:val="000571AE"/>
    <w:rsid w:val="000609DA"/>
    <w:rsid w:val="00074E9C"/>
    <w:rsid w:val="00081219"/>
    <w:rsid w:val="000812D0"/>
    <w:rsid w:val="000815F8"/>
    <w:rsid w:val="00092CDB"/>
    <w:rsid w:val="00094871"/>
    <w:rsid w:val="000A0A4A"/>
    <w:rsid w:val="000C197D"/>
    <w:rsid w:val="000C6E97"/>
    <w:rsid w:val="000C7151"/>
    <w:rsid w:val="000D1DA3"/>
    <w:rsid w:val="000D2C9E"/>
    <w:rsid w:val="000D3322"/>
    <w:rsid w:val="000D5986"/>
    <w:rsid w:val="000F00E3"/>
    <w:rsid w:val="00103C83"/>
    <w:rsid w:val="00111A76"/>
    <w:rsid w:val="001219F4"/>
    <w:rsid w:val="001247C3"/>
    <w:rsid w:val="0012582B"/>
    <w:rsid w:val="00133370"/>
    <w:rsid w:val="00136A03"/>
    <w:rsid w:val="00147021"/>
    <w:rsid w:val="0016361C"/>
    <w:rsid w:val="00165DCB"/>
    <w:rsid w:val="00166540"/>
    <w:rsid w:val="00172380"/>
    <w:rsid w:val="0017347E"/>
    <w:rsid w:val="001754E6"/>
    <w:rsid w:val="0018142C"/>
    <w:rsid w:val="001A2879"/>
    <w:rsid w:val="001B6073"/>
    <w:rsid w:val="001C1CA3"/>
    <w:rsid w:val="001C65F9"/>
    <w:rsid w:val="001C7D73"/>
    <w:rsid w:val="001D170D"/>
    <w:rsid w:val="001D3A9C"/>
    <w:rsid w:val="001E5486"/>
    <w:rsid w:val="001F0569"/>
    <w:rsid w:val="001F306C"/>
    <w:rsid w:val="00203978"/>
    <w:rsid w:val="00211660"/>
    <w:rsid w:val="002134FE"/>
    <w:rsid w:val="00224B92"/>
    <w:rsid w:val="002272C4"/>
    <w:rsid w:val="00231061"/>
    <w:rsid w:val="00235EE5"/>
    <w:rsid w:val="00245BDA"/>
    <w:rsid w:val="0024686B"/>
    <w:rsid w:val="00253069"/>
    <w:rsid w:val="002602F9"/>
    <w:rsid w:val="00267AA4"/>
    <w:rsid w:val="002745C4"/>
    <w:rsid w:val="002749BE"/>
    <w:rsid w:val="00280B2A"/>
    <w:rsid w:val="00287989"/>
    <w:rsid w:val="0029531F"/>
    <w:rsid w:val="002A33C6"/>
    <w:rsid w:val="002A76FE"/>
    <w:rsid w:val="002B05FA"/>
    <w:rsid w:val="002B2368"/>
    <w:rsid w:val="002B3A40"/>
    <w:rsid w:val="002B4E6B"/>
    <w:rsid w:val="002B54EA"/>
    <w:rsid w:val="002B7884"/>
    <w:rsid w:val="002C088C"/>
    <w:rsid w:val="002C0AD5"/>
    <w:rsid w:val="002C15D6"/>
    <w:rsid w:val="002C16C9"/>
    <w:rsid w:val="002C232D"/>
    <w:rsid w:val="002C3F9D"/>
    <w:rsid w:val="002C5710"/>
    <w:rsid w:val="002E66C7"/>
    <w:rsid w:val="002F1BD7"/>
    <w:rsid w:val="002F2EE1"/>
    <w:rsid w:val="002F38AD"/>
    <w:rsid w:val="00303810"/>
    <w:rsid w:val="0031046F"/>
    <w:rsid w:val="00324A80"/>
    <w:rsid w:val="00327C7A"/>
    <w:rsid w:val="0033184A"/>
    <w:rsid w:val="003328A2"/>
    <w:rsid w:val="0033452B"/>
    <w:rsid w:val="00334DEB"/>
    <w:rsid w:val="003417CA"/>
    <w:rsid w:val="003422D4"/>
    <w:rsid w:val="00345E5E"/>
    <w:rsid w:val="00370331"/>
    <w:rsid w:val="00370520"/>
    <w:rsid w:val="003708C8"/>
    <w:rsid w:val="00377428"/>
    <w:rsid w:val="00384A7C"/>
    <w:rsid w:val="003A4A4B"/>
    <w:rsid w:val="003B301D"/>
    <w:rsid w:val="003B57DF"/>
    <w:rsid w:val="003C2D38"/>
    <w:rsid w:val="003C2EB7"/>
    <w:rsid w:val="003C4845"/>
    <w:rsid w:val="003C5015"/>
    <w:rsid w:val="003C7E13"/>
    <w:rsid w:val="003D04C2"/>
    <w:rsid w:val="003D0DB1"/>
    <w:rsid w:val="003E1F2F"/>
    <w:rsid w:val="003E472B"/>
    <w:rsid w:val="003E50C0"/>
    <w:rsid w:val="003F0CB5"/>
    <w:rsid w:val="003F265B"/>
    <w:rsid w:val="004040CF"/>
    <w:rsid w:val="00404BD5"/>
    <w:rsid w:val="004173DF"/>
    <w:rsid w:val="004205E1"/>
    <w:rsid w:val="004322C5"/>
    <w:rsid w:val="00446D04"/>
    <w:rsid w:val="00451EB2"/>
    <w:rsid w:val="0045644C"/>
    <w:rsid w:val="004639F7"/>
    <w:rsid w:val="0046673B"/>
    <w:rsid w:val="004673FB"/>
    <w:rsid w:val="00474226"/>
    <w:rsid w:val="004773B8"/>
    <w:rsid w:val="004829FE"/>
    <w:rsid w:val="00484F5D"/>
    <w:rsid w:val="00490E93"/>
    <w:rsid w:val="0049136B"/>
    <w:rsid w:val="004927B7"/>
    <w:rsid w:val="004A0D2E"/>
    <w:rsid w:val="004A4582"/>
    <w:rsid w:val="004A5D07"/>
    <w:rsid w:val="004B66EC"/>
    <w:rsid w:val="004C0368"/>
    <w:rsid w:val="004C148D"/>
    <w:rsid w:val="004C65FC"/>
    <w:rsid w:val="004C7B3B"/>
    <w:rsid w:val="004D152F"/>
    <w:rsid w:val="004E364E"/>
    <w:rsid w:val="004E579F"/>
    <w:rsid w:val="004E6581"/>
    <w:rsid w:val="004F0FF8"/>
    <w:rsid w:val="004F142A"/>
    <w:rsid w:val="00504D8A"/>
    <w:rsid w:val="00515C54"/>
    <w:rsid w:val="00531137"/>
    <w:rsid w:val="005339FB"/>
    <w:rsid w:val="005509F3"/>
    <w:rsid w:val="005527BC"/>
    <w:rsid w:val="00562AAF"/>
    <w:rsid w:val="00574819"/>
    <w:rsid w:val="0057688A"/>
    <w:rsid w:val="005929B1"/>
    <w:rsid w:val="00596EEC"/>
    <w:rsid w:val="005B0ECB"/>
    <w:rsid w:val="005B6AED"/>
    <w:rsid w:val="005C0860"/>
    <w:rsid w:val="005C271E"/>
    <w:rsid w:val="005D4129"/>
    <w:rsid w:val="005D4390"/>
    <w:rsid w:val="005D4AC4"/>
    <w:rsid w:val="005F3607"/>
    <w:rsid w:val="005F61C9"/>
    <w:rsid w:val="005F63AC"/>
    <w:rsid w:val="005F63D4"/>
    <w:rsid w:val="0060248A"/>
    <w:rsid w:val="00606C61"/>
    <w:rsid w:val="0061200D"/>
    <w:rsid w:val="0061485C"/>
    <w:rsid w:val="006256EE"/>
    <w:rsid w:val="00632E6F"/>
    <w:rsid w:val="00645320"/>
    <w:rsid w:val="00654544"/>
    <w:rsid w:val="00666237"/>
    <w:rsid w:val="006838A6"/>
    <w:rsid w:val="006842C2"/>
    <w:rsid w:val="006844D9"/>
    <w:rsid w:val="00693787"/>
    <w:rsid w:val="0069400E"/>
    <w:rsid w:val="00695C87"/>
    <w:rsid w:val="006A3BCC"/>
    <w:rsid w:val="006A4B1F"/>
    <w:rsid w:val="006A68D0"/>
    <w:rsid w:val="006A7990"/>
    <w:rsid w:val="006B7006"/>
    <w:rsid w:val="006C0A98"/>
    <w:rsid w:val="006C1DBF"/>
    <w:rsid w:val="006C64E5"/>
    <w:rsid w:val="006D045A"/>
    <w:rsid w:val="006D33D7"/>
    <w:rsid w:val="006D6B24"/>
    <w:rsid w:val="006E29A6"/>
    <w:rsid w:val="006F2FEC"/>
    <w:rsid w:val="006F3C92"/>
    <w:rsid w:val="00701CE5"/>
    <w:rsid w:val="007147E8"/>
    <w:rsid w:val="0071549E"/>
    <w:rsid w:val="007167F2"/>
    <w:rsid w:val="00725CB6"/>
    <w:rsid w:val="0073568F"/>
    <w:rsid w:val="007372D9"/>
    <w:rsid w:val="007403F2"/>
    <w:rsid w:val="007422B6"/>
    <w:rsid w:val="0075638C"/>
    <w:rsid w:val="00760A31"/>
    <w:rsid w:val="00765F06"/>
    <w:rsid w:val="00773B80"/>
    <w:rsid w:val="0077485A"/>
    <w:rsid w:val="00775265"/>
    <w:rsid w:val="00780716"/>
    <w:rsid w:val="00791116"/>
    <w:rsid w:val="007939B3"/>
    <w:rsid w:val="007A273E"/>
    <w:rsid w:val="007A6679"/>
    <w:rsid w:val="007C70EF"/>
    <w:rsid w:val="007D6486"/>
    <w:rsid w:val="007E289E"/>
    <w:rsid w:val="007E7887"/>
    <w:rsid w:val="008254D0"/>
    <w:rsid w:val="008265A4"/>
    <w:rsid w:val="00830EAF"/>
    <w:rsid w:val="00831650"/>
    <w:rsid w:val="00835C16"/>
    <w:rsid w:val="00862CAB"/>
    <w:rsid w:val="00873FF8"/>
    <w:rsid w:val="0087650B"/>
    <w:rsid w:val="0087766B"/>
    <w:rsid w:val="00883CC3"/>
    <w:rsid w:val="008848B8"/>
    <w:rsid w:val="00886111"/>
    <w:rsid w:val="00886BF7"/>
    <w:rsid w:val="008878F7"/>
    <w:rsid w:val="008A4124"/>
    <w:rsid w:val="008A6498"/>
    <w:rsid w:val="008B4F89"/>
    <w:rsid w:val="008B73A2"/>
    <w:rsid w:val="008B7547"/>
    <w:rsid w:val="008C3382"/>
    <w:rsid w:val="008C61D3"/>
    <w:rsid w:val="008D126A"/>
    <w:rsid w:val="008D53EA"/>
    <w:rsid w:val="008E46EE"/>
    <w:rsid w:val="008F21FD"/>
    <w:rsid w:val="008F5763"/>
    <w:rsid w:val="008F649D"/>
    <w:rsid w:val="0090777F"/>
    <w:rsid w:val="00910F1B"/>
    <w:rsid w:val="00911C28"/>
    <w:rsid w:val="00912306"/>
    <w:rsid w:val="00914996"/>
    <w:rsid w:val="00914DA8"/>
    <w:rsid w:val="009450A6"/>
    <w:rsid w:val="009456C6"/>
    <w:rsid w:val="00950627"/>
    <w:rsid w:val="00956E72"/>
    <w:rsid w:val="00957D4A"/>
    <w:rsid w:val="00960253"/>
    <w:rsid w:val="009605D7"/>
    <w:rsid w:val="00960987"/>
    <w:rsid w:val="00960D01"/>
    <w:rsid w:val="00960F90"/>
    <w:rsid w:val="00961743"/>
    <w:rsid w:val="00975925"/>
    <w:rsid w:val="00975F7E"/>
    <w:rsid w:val="00986D86"/>
    <w:rsid w:val="00987932"/>
    <w:rsid w:val="009A39D2"/>
    <w:rsid w:val="009A4AA0"/>
    <w:rsid w:val="009B01A3"/>
    <w:rsid w:val="009B189C"/>
    <w:rsid w:val="009B4149"/>
    <w:rsid w:val="009B6593"/>
    <w:rsid w:val="009C45F2"/>
    <w:rsid w:val="009C5C38"/>
    <w:rsid w:val="009D5034"/>
    <w:rsid w:val="009D764A"/>
    <w:rsid w:val="009E5E12"/>
    <w:rsid w:val="009E7E77"/>
    <w:rsid w:val="009F138C"/>
    <w:rsid w:val="009F5D3E"/>
    <w:rsid w:val="009F5E75"/>
    <w:rsid w:val="00A031CF"/>
    <w:rsid w:val="00A165EE"/>
    <w:rsid w:val="00A2749B"/>
    <w:rsid w:val="00A458BC"/>
    <w:rsid w:val="00A53F1B"/>
    <w:rsid w:val="00A55C5E"/>
    <w:rsid w:val="00A56BE7"/>
    <w:rsid w:val="00A6337D"/>
    <w:rsid w:val="00A64AB6"/>
    <w:rsid w:val="00A75492"/>
    <w:rsid w:val="00A85ABA"/>
    <w:rsid w:val="00A86FDB"/>
    <w:rsid w:val="00AA31EF"/>
    <w:rsid w:val="00AA61EF"/>
    <w:rsid w:val="00AB1E49"/>
    <w:rsid w:val="00AB50B2"/>
    <w:rsid w:val="00AD0B72"/>
    <w:rsid w:val="00AD7736"/>
    <w:rsid w:val="00AD7EE8"/>
    <w:rsid w:val="00AF1A62"/>
    <w:rsid w:val="00AF234B"/>
    <w:rsid w:val="00B05B0B"/>
    <w:rsid w:val="00B1525B"/>
    <w:rsid w:val="00B26D08"/>
    <w:rsid w:val="00B37567"/>
    <w:rsid w:val="00B40852"/>
    <w:rsid w:val="00B42777"/>
    <w:rsid w:val="00B47903"/>
    <w:rsid w:val="00B56FDC"/>
    <w:rsid w:val="00B64500"/>
    <w:rsid w:val="00B64FFC"/>
    <w:rsid w:val="00B70BE0"/>
    <w:rsid w:val="00B73A65"/>
    <w:rsid w:val="00B8004A"/>
    <w:rsid w:val="00B80E1A"/>
    <w:rsid w:val="00B9071F"/>
    <w:rsid w:val="00B9158B"/>
    <w:rsid w:val="00B957CC"/>
    <w:rsid w:val="00BA2852"/>
    <w:rsid w:val="00BA477A"/>
    <w:rsid w:val="00BB1F36"/>
    <w:rsid w:val="00BC19E3"/>
    <w:rsid w:val="00BC6A79"/>
    <w:rsid w:val="00BD1B37"/>
    <w:rsid w:val="00BD31C6"/>
    <w:rsid w:val="00BE4658"/>
    <w:rsid w:val="00BF333C"/>
    <w:rsid w:val="00C036FB"/>
    <w:rsid w:val="00C07FA9"/>
    <w:rsid w:val="00C1578A"/>
    <w:rsid w:val="00C203A1"/>
    <w:rsid w:val="00C243D4"/>
    <w:rsid w:val="00C32FC7"/>
    <w:rsid w:val="00C35849"/>
    <w:rsid w:val="00C36E7C"/>
    <w:rsid w:val="00C429B4"/>
    <w:rsid w:val="00C44A42"/>
    <w:rsid w:val="00C44D8C"/>
    <w:rsid w:val="00C56B16"/>
    <w:rsid w:val="00C658BB"/>
    <w:rsid w:val="00C65C93"/>
    <w:rsid w:val="00C80F62"/>
    <w:rsid w:val="00C818B1"/>
    <w:rsid w:val="00C82A40"/>
    <w:rsid w:val="00C8357B"/>
    <w:rsid w:val="00C95D21"/>
    <w:rsid w:val="00CB3EA5"/>
    <w:rsid w:val="00CC0241"/>
    <w:rsid w:val="00CC54F0"/>
    <w:rsid w:val="00CD0B82"/>
    <w:rsid w:val="00CD5B95"/>
    <w:rsid w:val="00CE3E7A"/>
    <w:rsid w:val="00CE7AC6"/>
    <w:rsid w:val="00CF0B38"/>
    <w:rsid w:val="00CF3A09"/>
    <w:rsid w:val="00CF42EF"/>
    <w:rsid w:val="00CF5382"/>
    <w:rsid w:val="00D0291D"/>
    <w:rsid w:val="00D06397"/>
    <w:rsid w:val="00D1664B"/>
    <w:rsid w:val="00D3072E"/>
    <w:rsid w:val="00D34609"/>
    <w:rsid w:val="00D4049A"/>
    <w:rsid w:val="00D42761"/>
    <w:rsid w:val="00D42C3A"/>
    <w:rsid w:val="00D50B56"/>
    <w:rsid w:val="00D6097B"/>
    <w:rsid w:val="00D63D65"/>
    <w:rsid w:val="00D6407A"/>
    <w:rsid w:val="00D70CE9"/>
    <w:rsid w:val="00D75969"/>
    <w:rsid w:val="00DA1613"/>
    <w:rsid w:val="00DA4EFC"/>
    <w:rsid w:val="00DB7967"/>
    <w:rsid w:val="00DC16C8"/>
    <w:rsid w:val="00DC2D67"/>
    <w:rsid w:val="00DC3D6A"/>
    <w:rsid w:val="00DC4CD3"/>
    <w:rsid w:val="00DE37C1"/>
    <w:rsid w:val="00DE6F52"/>
    <w:rsid w:val="00E14447"/>
    <w:rsid w:val="00E1456B"/>
    <w:rsid w:val="00E42754"/>
    <w:rsid w:val="00E62488"/>
    <w:rsid w:val="00E74447"/>
    <w:rsid w:val="00E7714D"/>
    <w:rsid w:val="00E80F82"/>
    <w:rsid w:val="00EA4685"/>
    <w:rsid w:val="00EA4FD0"/>
    <w:rsid w:val="00EB20B0"/>
    <w:rsid w:val="00EB2A6B"/>
    <w:rsid w:val="00EB3E41"/>
    <w:rsid w:val="00EC0317"/>
    <w:rsid w:val="00EC54BA"/>
    <w:rsid w:val="00EC6A55"/>
    <w:rsid w:val="00ED1A8D"/>
    <w:rsid w:val="00ED45B1"/>
    <w:rsid w:val="00ED78AE"/>
    <w:rsid w:val="00EE1FF5"/>
    <w:rsid w:val="00EE5CC3"/>
    <w:rsid w:val="00EF2607"/>
    <w:rsid w:val="00EF5023"/>
    <w:rsid w:val="00EF5031"/>
    <w:rsid w:val="00EF795C"/>
    <w:rsid w:val="00F03EDC"/>
    <w:rsid w:val="00F0462F"/>
    <w:rsid w:val="00F06380"/>
    <w:rsid w:val="00F11D07"/>
    <w:rsid w:val="00F13908"/>
    <w:rsid w:val="00F17702"/>
    <w:rsid w:val="00F2107D"/>
    <w:rsid w:val="00F26608"/>
    <w:rsid w:val="00F32E62"/>
    <w:rsid w:val="00F3636D"/>
    <w:rsid w:val="00F40FA4"/>
    <w:rsid w:val="00F43642"/>
    <w:rsid w:val="00F50641"/>
    <w:rsid w:val="00F577B7"/>
    <w:rsid w:val="00F67729"/>
    <w:rsid w:val="00F67927"/>
    <w:rsid w:val="00F73369"/>
    <w:rsid w:val="00F740DE"/>
    <w:rsid w:val="00F756B0"/>
    <w:rsid w:val="00F82197"/>
    <w:rsid w:val="00F96838"/>
    <w:rsid w:val="00FA26F2"/>
    <w:rsid w:val="00FA3335"/>
    <w:rsid w:val="00FA5AA4"/>
    <w:rsid w:val="00FA5C9E"/>
    <w:rsid w:val="00FB447E"/>
    <w:rsid w:val="00FB5DC6"/>
    <w:rsid w:val="00FD224A"/>
    <w:rsid w:val="00FD42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6BBC27"/>
  <w15:chartTrackingRefBased/>
  <w15:docId w15:val="{87F0D093-B98E-4AB1-970D-58AA8F6D9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4"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4"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509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0D5986"/>
    <w:pPr>
      <w:ind w:left="720"/>
      <w:contextualSpacing/>
    </w:pPr>
  </w:style>
  <w:style w:type="paragraph" w:styleId="Header">
    <w:name w:val="header"/>
    <w:basedOn w:val="Normal"/>
    <w:link w:val="HeaderChar"/>
    <w:uiPriority w:val="99"/>
    <w:unhideWhenUsed/>
    <w:rsid w:val="006842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42C2"/>
  </w:style>
  <w:style w:type="paragraph" w:styleId="Footer">
    <w:name w:val="footer"/>
    <w:basedOn w:val="Normal"/>
    <w:link w:val="FooterChar"/>
    <w:uiPriority w:val="99"/>
    <w:unhideWhenUsed/>
    <w:rsid w:val="006842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42C2"/>
  </w:style>
  <w:style w:type="character" w:styleId="PlaceholderText">
    <w:name w:val="Placeholder Text"/>
    <w:basedOn w:val="DefaultParagraphFont"/>
    <w:uiPriority w:val="99"/>
    <w:semiHidden/>
    <w:rsid w:val="00BA477A"/>
    <w:rPr>
      <w:color w:val="808080"/>
    </w:rPr>
  </w:style>
  <w:style w:type="paragraph" w:styleId="BalloonText">
    <w:name w:val="Balloon Text"/>
    <w:basedOn w:val="Normal"/>
    <w:link w:val="BalloonTextChar"/>
    <w:uiPriority w:val="99"/>
    <w:semiHidden/>
    <w:unhideWhenUsed/>
    <w:rsid w:val="00504D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4D8A"/>
    <w:rPr>
      <w:rFonts w:ascii="Segoe UI" w:hAnsi="Segoe UI" w:cs="Segoe UI"/>
      <w:sz w:val="18"/>
      <w:szCs w:val="18"/>
    </w:rPr>
  </w:style>
  <w:style w:type="character" w:styleId="Hyperlink">
    <w:name w:val="Hyperlink"/>
    <w:aliases w:val="~HyperLink"/>
    <w:basedOn w:val="DefaultParagraphFont"/>
    <w:uiPriority w:val="99"/>
    <w:unhideWhenUsed/>
    <w:rsid w:val="00B56FDC"/>
    <w:rPr>
      <w:color w:val="0563C1" w:themeColor="hyperlink"/>
      <w:u w:val="single"/>
    </w:rPr>
  </w:style>
  <w:style w:type="character" w:styleId="CommentReference">
    <w:name w:val="annotation reference"/>
    <w:basedOn w:val="DefaultParagraphFont"/>
    <w:uiPriority w:val="99"/>
    <w:semiHidden/>
    <w:unhideWhenUsed/>
    <w:rsid w:val="00B9158B"/>
    <w:rPr>
      <w:sz w:val="16"/>
      <w:szCs w:val="16"/>
    </w:rPr>
  </w:style>
  <w:style w:type="paragraph" w:styleId="CommentText">
    <w:name w:val="annotation text"/>
    <w:basedOn w:val="Normal"/>
    <w:link w:val="CommentTextChar"/>
    <w:uiPriority w:val="99"/>
    <w:unhideWhenUsed/>
    <w:rsid w:val="00B9158B"/>
    <w:pPr>
      <w:spacing w:line="240" w:lineRule="auto"/>
    </w:pPr>
    <w:rPr>
      <w:sz w:val="20"/>
      <w:szCs w:val="20"/>
    </w:rPr>
  </w:style>
  <w:style w:type="character" w:customStyle="1" w:styleId="CommentTextChar">
    <w:name w:val="Comment Text Char"/>
    <w:basedOn w:val="DefaultParagraphFont"/>
    <w:link w:val="CommentText"/>
    <w:uiPriority w:val="99"/>
    <w:rsid w:val="00B9158B"/>
    <w:rPr>
      <w:sz w:val="20"/>
      <w:szCs w:val="20"/>
    </w:rPr>
  </w:style>
  <w:style w:type="paragraph" w:styleId="CommentSubject">
    <w:name w:val="annotation subject"/>
    <w:basedOn w:val="CommentText"/>
    <w:next w:val="CommentText"/>
    <w:link w:val="CommentSubjectChar"/>
    <w:uiPriority w:val="99"/>
    <w:semiHidden/>
    <w:unhideWhenUsed/>
    <w:rsid w:val="00B9158B"/>
    <w:rPr>
      <w:b/>
      <w:bCs/>
    </w:rPr>
  </w:style>
  <w:style w:type="character" w:customStyle="1" w:styleId="CommentSubjectChar">
    <w:name w:val="Comment Subject Char"/>
    <w:basedOn w:val="CommentTextChar"/>
    <w:link w:val="CommentSubject"/>
    <w:uiPriority w:val="99"/>
    <w:semiHidden/>
    <w:rsid w:val="00B9158B"/>
    <w:rPr>
      <w:b/>
      <w:bCs/>
      <w:sz w:val="20"/>
      <w:szCs w:val="20"/>
    </w:rPr>
  </w:style>
  <w:style w:type="paragraph" w:styleId="Revision">
    <w:name w:val="Revision"/>
    <w:hidden/>
    <w:uiPriority w:val="99"/>
    <w:semiHidden/>
    <w:rsid w:val="004E579F"/>
    <w:pPr>
      <w:spacing w:after="0" w:line="240" w:lineRule="auto"/>
    </w:pPr>
  </w:style>
  <w:style w:type="character" w:customStyle="1" w:styleId="normaltextrun">
    <w:name w:val="normaltextrun"/>
    <w:basedOn w:val="DefaultParagraphFont"/>
    <w:rsid w:val="002134FE"/>
  </w:style>
  <w:style w:type="paragraph" w:styleId="ListBullet">
    <w:name w:val="List Bullet"/>
    <w:basedOn w:val="BodyText"/>
    <w:uiPriority w:val="14"/>
    <w:qFormat/>
    <w:rsid w:val="00FA3335"/>
    <w:pPr>
      <w:numPr>
        <w:numId w:val="5"/>
      </w:numPr>
      <w:tabs>
        <w:tab w:val="num" w:pos="360"/>
      </w:tabs>
      <w:spacing w:after="50" w:line="360" w:lineRule="atLeast"/>
      <w:ind w:left="0" w:firstLine="0"/>
    </w:pPr>
    <w:rPr>
      <w:rFonts w:ascii="Arial" w:hAnsi="Arial"/>
      <w:color w:val="231F20"/>
      <w:sz w:val="24"/>
      <w:szCs w:val="24"/>
    </w:rPr>
  </w:style>
  <w:style w:type="paragraph" w:styleId="ListBullet2">
    <w:name w:val="List Bullet 2"/>
    <w:basedOn w:val="BodyText"/>
    <w:uiPriority w:val="14"/>
    <w:qFormat/>
    <w:rsid w:val="00FA3335"/>
    <w:pPr>
      <w:numPr>
        <w:ilvl w:val="1"/>
        <w:numId w:val="5"/>
      </w:numPr>
      <w:tabs>
        <w:tab w:val="num" w:pos="360"/>
      </w:tabs>
      <w:spacing w:after="50" w:line="360" w:lineRule="atLeast"/>
      <w:ind w:left="0" w:firstLine="0"/>
    </w:pPr>
    <w:rPr>
      <w:rFonts w:ascii="Arial" w:hAnsi="Arial"/>
      <w:color w:val="231F20"/>
      <w:sz w:val="24"/>
      <w:szCs w:val="24"/>
    </w:rPr>
  </w:style>
  <w:style w:type="paragraph" w:styleId="ListBullet3">
    <w:name w:val="List Bullet 3"/>
    <w:basedOn w:val="BodyText"/>
    <w:uiPriority w:val="99"/>
    <w:semiHidden/>
    <w:qFormat/>
    <w:rsid w:val="00FA3335"/>
    <w:pPr>
      <w:numPr>
        <w:ilvl w:val="2"/>
        <w:numId w:val="5"/>
      </w:numPr>
      <w:tabs>
        <w:tab w:val="num" w:pos="360"/>
      </w:tabs>
      <w:spacing w:after="280" w:line="360" w:lineRule="atLeast"/>
      <w:ind w:left="0" w:firstLine="0"/>
      <w:contextualSpacing/>
    </w:pPr>
    <w:rPr>
      <w:rFonts w:ascii="Arial" w:hAnsi="Arial"/>
      <w:color w:val="231F20"/>
      <w:sz w:val="24"/>
      <w:szCs w:val="24"/>
    </w:rPr>
  </w:style>
  <w:style w:type="paragraph" w:styleId="ListBullet4">
    <w:name w:val="List Bullet 4"/>
    <w:basedOn w:val="BodyText"/>
    <w:uiPriority w:val="99"/>
    <w:semiHidden/>
    <w:rsid w:val="00FA3335"/>
    <w:pPr>
      <w:numPr>
        <w:ilvl w:val="3"/>
        <w:numId w:val="5"/>
      </w:numPr>
      <w:tabs>
        <w:tab w:val="num" w:pos="360"/>
      </w:tabs>
      <w:spacing w:after="280" w:line="360" w:lineRule="atLeast"/>
      <w:ind w:left="0" w:firstLine="0"/>
      <w:contextualSpacing/>
    </w:pPr>
    <w:rPr>
      <w:rFonts w:ascii="Arial" w:hAnsi="Arial"/>
      <w:color w:val="231F20"/>
      <w:sz w:val="24"/>
      <w:szCs w:val="24"/>
    </w:rPr>
  </w:style>
  <w:style w:type="paragraph" w:styleId="ListBullet5">
    <w:name w:val="List Bullet 5"/>
    <w:basedOn w:val="BodyText"/>
    <w:uiPriority w:val="99"/>
    <w:semiHidden/>
    <w:rsid w:val="00FA3335"/>
    <w:pPr>
      <w:numPr>
        <w:ilvl w:val="4"/>
        <w:numId w:val="5"/>
      </w:numPr>
      <w:tabs>
        <w:tab w:val="num" w:pos="360"/>
      </w:tabs>
      <w:spacing w:after="280" w:line="360" w:lineRule="atLeast"/>
      <w:ind w:left="0" w:firstLine="0"/>
      <w:contextualSpacing/>
    </w:pPr>
    <w:rPr>
      <w:rFonts w:ascii="Arial" w:hAnsi="Arial"/>
      <w:color w:val="231F20"/>
      <w:sz w:val="24"/>
      <w:szCs w:val="24"/>
    </w:rPr>
  </w:style>
  <w:style w:type="numbering" w:customStyle="1" w:styleId="NHSBullets">
    <w:name w:val="NHS Bullets"/>
    <w:basedOn w:val="NoList"/>
    <w:uiPriority w:val="99"/>
    <w:rsid w:val="00FA3335"/>
    <w:pPr>
      <w:numPr>
        <w:numId w:val="5"/>
      </w:numPr>
    </w:pPr>
  </w:style>
  <w:style w:type="paragraph" w:styleId="BodyText">
    <w:name w:val="Body Text"/>
    <w:basedOn w:val="Normal"/>
    <w:link w:val="BodyTextChar"/>
    <w:uiPriority w:val="99"/>
    <w:semiHidden/>
    <w:unhideWhenUsed/>
    <w:rsid w:val="00FA3335"/>
    <w:pPr>
      <w:spacing w:after="120"/>
    </w:pPr>
  </w:style>
  <w:style w:type="character" w:customStyle="1" w:styleId="BodyTextChar">
    <w:name w:val="Body Text Char"/>
    <w:basedOn w:val="DefaultParagraphFont"/>
    <w:link w:val="BodyText"/>
    <w:uiPriority w:val="99"/>
    <w:semiHidden/>
    <w:rsid w:val="00FA3335"/>
  </w:style>
  <w:style w:type="character" w:styleId="FollowedHyperlink">
    <w:name w:val="FollowedHyperlink"/>
    <w:basedOn w:val="DefaultParagraphFont"/>
    <w:uiPriority w:val="99"/>
    <w:semiHidden/>
    <w:unhideWhenUsed/>
    <w:rsid w:val="007422B6"/>
    <w:rPr>
      <w:color w:val="954F72" w:themeColor="followedHyperlink"/>
      <w:u w:val="single"/>
    </w:rPr>
  </w:style>
  <w:style w:type="character" w:customStyle="1" w:styleId="ui-provider">
    <w:name w:val="ui-provider"/>
    <w:basedOn w:val="DefaultParagraphFont"/>
    <w:rsid w:val="000D2C9E"/>
  </w:style>
  <w:style w:type="paragraph" w:styleId="NoSpacing">
    <w:name w:val="No Spacing"/>
    <w:uiPriority w:val="1"/>
    <w:qFormat/>
    <w:rsid w:val="000F00E3"/>
    <w:pPr>
      <w:spacing w:after="0" w:line="240" w:lineRule="auto"/>
    </w:pPr>
    <w:rPr>
      <w:kern w:val="2"/>
      <w14:ligatures w14:val="standardContextual"/>
    </w:rPr>
  </w:style>
  <w:style w:type="paragraph" w:customStyle="1" w:styleId="Bulletlist">
    <w:name w:val="Bullet list"/>
    <w:basedOn w:val="ListParagraph"/>
    <w:link w:val="BulletlistChar"/>
    <w:autoRedefine/>
    <w:uiPriority w:val="10"/>
    <w:qFormat/>
    <w:rsid w:val="00C95D21"/>
    <w:pPr>
      <w:autoSpaceDE w:val="0"/>
      <w:autoSpaceDN w:val="0"/>
      <w:adjustRightInd w:val="0"/>
      <w:spacing w:after="0" w:line="240" w:lineRule="auto"/>
      <w:ind w:left="0"/>
      <w:contextualSpacing w:val="0"/>
    </w:pPr>
    <w:rPr>
      <w:rFonts w:eastAsia="Times New Roman" w:cstheme="minorHAnsi"/>
      <w:color w:val="000000"/>
      <w:sz w:val="24"/>
    </w:rPr>
  </w:style>
  <w:style w:type="character" w:customStyle="1" w:styleId="BulletlistChar">
    <w:name w:val="Bullet list Char"/>
    <w:basedOn w:val="DefaultParagraphFont"/>
    <w:link w:val="Bulletlist"/>
    <w:uiPriority w:val="10"/>
    <w:rsid w:val="00C95D21"/>
    <w:rPr>
      <w:rFonts w:eastAsia="Times New Roman" w:cstheme="minorHAnsi"/>
      <w:color w:val="000000"/>
      <w:sz w:val="24"/>
    </w:rPr>
  </w:style>
  <w:style w:type="character" w:customStyle="1" w:styleId="ListParagraphChar">
    <w:name w:val="List Paragraph Char"/>
    <w:basedOn w:val="DefaultParagraphFont"/>
    <w:link w:val="ListParagraph"/>
    <w:uiPriority w:val="34"/>
    <w:rsid w:val="00E80F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45572">
      <w:bodyDiv w:val="1"/>
      <w:marLeft w:val="0"/>
      <w:marRight w:val="0"/>
      <w:marTop w:val="0"/>
      <w:marBottom w:val="0"/>
      <w:divBdr>
        <w:top w:val="none" w:sz="0" w:space="0" w:color="auto"/>
        <w:left w:val="none" w:sz="0" w:space="0" w:color="auto"/>
        <w:bottom w:val="none" w:sz="0" w:space="0" w:color="auto"/>
        <w:right w:val="none" w:sz="0" w:space="0" w:color="auto"/>
      </w:divBdr>
    </w:div>
    <w:div w:id="532882130">
      <w:bodyDiv w:val="1"/>
      <w:marLeft w:val="0"/>
      <w:marRight w:val="0"/>
      <w:marTop w:val="0"/>
      <w:marBottom w:val="0"/>
      <w:divBdr>
        <w:top w:val="none" w:sz="0" w:space="0" w:color="auto"/>
        <w:left w:val="none" w:sz="0" w:space="0" w:color="auto"/>
        <w:bottom w:val="none" w:sz="0" w:space="0" w:color="auto"/>
        <w:right w:val="none" w:sz="0" w:space="0" w:color="auto"/>
      </w:divBdr>
    </w:div>
    <w:div w:id="596056141">
      <w:bodyDiv w:val="1"/>
      <w:marLeft w:val="0"/>
      <w:marRight w:val="0"/>
      <w:marTop w:val="0"/>
      <w:marBottom w:val="0"/>
      <w:divBdr>
        <w:top w:val="none" w:sz="0" w:space="0" w:color="auto"/>
        <w:left w:val="none" w:sz="0" w:space="0" w:color="auto"/>
        <w:bottom w:val="none" w:sz="0" w:space="0" w:color="auto"/>
        <w:right w:val="none" w:sz="0" w:space="0" w:color="auto"/>
      </w:divBdr>
      <w:divsChild>
        <w:div w:id="603465828">
          <w:marLeft w:val="0"/>
          <w:marRight w:val="0"/>
          <w:marTop w:val="0"/>
          <w:marBottom w:val="0"/>
          <w:divBdr>
            <w:top w:val="none" w:sz="0" w:space="0" w:color="auto"/>
            <w:left w:val="none" w:sz="0" w:space="0" w:color="auto"/>
            <w:bottom w:val="none" w:sz="0" w:space="0" w:color="auto"/>
            <w:right w:val="none" w:sz="0" w:space="0" w:color="auto"/>
          </w:divBdr>
          <w:divsChild>
            <w:div w:id="1175997507">
              <w:marLeft w:val="0"/>
              <w:marRight w:val="0"/>
              <w:marTop w:val="0"/>
              <w:marBottom w:val="0"/>
              <w:divBdr>
                <w:top w:val="none" w:sz="0" w:space="0" w:color="auto"/>
                <w:left w:val="none" w:sz="0" w:space="0" w:color="auto"/>
                <w:bottom w:val="none" w:sz="0" w:space="0" w:color="auto"/>
                <w:right w:val="none" w:sz="0" w:space="0" w:color="auto"/>
              </w:divBdr>
              <w:divsChild>
                <w:div w:id="542908717">
                  <w:marLeft w:val="0"/>
                  <w:marRight w:val="0"/>
                  <w:marTop w:val="0"/>
                  <w:marBottom w:val="0"/>
                  <w:divBdr>
                    <w:top w:val="none" w:sz="0" w:space="0" w:color="auto"/>
                    <w:left w:val="none" w:sz="0" w:space="0" w:color="auto"/>
                    <w:bottom w:val="none" w:sz="0" w:space="0" w:color="auto"/>
                    <w:right w:val="none" w:sz="0" w:space="0" w:color="auto"/>
                  </w:divBdr>
                </w:div>
              </w:divsChild>
            </w:div>
            <w:div w:id="1392076690">
              <w:marLeft w:val="0"/>
              <w:marRight w:val="0"/>
              <w:marTop w:val="0"/>
              <w:marBottom w:val="0"/>
              <w:divBdr>
                <w:top w:val="none" w:sz="0" w:space="0" w:color="auto"/>
                <w:left w:val="none" w:sz="0" w:space="0" w:color="auto"/>
                <w:bottom w:val="none" w:sz="0" w:space="0" w:color="auto"/>
                <w:right w:val="none" w:sz="0" w:space="0" w:color="auto"/>
              </w:divBdr>
              <w:divsChild>
                <w:div w:id="1422338673">
                  <w:marLeft w:val="0"/>
                  <w:marRight w:val="0"/>
                  <w:marTop w:val="0"/>
                  <w:marBottom w:val="0"/>
                  <w:divBdr>
                    <w:top w:val="none" w:sz="0" w:space="0" w:color="auto"/>
                    <w:left w:val="none" w:sz="0" w:space="0" w:color="auto"/>
                    <w:bottom w:val="none" w:sz="0" w:space="0" w:color="auto"/>
                    <w:right w:val="none" w:sz="0" w:space="0" w:color="auto"/>
                  </w:divBdr>
                </w:div>
              </w:divsChild>
            </w:div>
            <w:div w:id="1251692050">
              <w:marLeft w:val="0"/>
              <w:marRight w:val="0"/>
              <w:marTop w:val="0"/>
              <w:marBottom w:val="0"/>
              <w:divBdr>
                <w:top w:val="none" w:sz="0" w:space="0" w:color="auto"/>
                <w:left w:val="none" w:sz="0" w:space="0" w:color="auto"/>
                <w:bottom w:val="none" w:sz="0" w:space="0" w:color="auto"/>
                <w:right w:val="none" w:sz="0" w:space="0" w:color="auto"/>
              </w:divBdr>
              <w:divsChild>
                <w:div w:id="1944918063">
                  <w:marLeft w:val="0"/>
                  <w:marRight w:val="0"/>
                  <w:marTop w:val="0"/>
                  <w:marBottom w:val="0"/>
                  <w:divBdr>
                    <w:top w:val="none" w:sz="0" w:space="0" w:color="auto"/>
                    <w:left w:val="none" w:sz="0" w:space="0" w:color="auto"/>
                    <w:bottom w:val="none" w:sz="0" w:space="0" w:color="auto"/>
                    <w:right w:val="none" w:sz="0" w:space="0" w:color="auto"/>
                  </w:divBdr>
                </w:div>
              </w:divsChild>
            </w:div>
            <w:div w:id="1451167999">
              <w:marLeft w:val="0"/>
              <w:marRight w:val="0"/>
              <w:marTop w:val="0"/>
              <w:marBottom w:val="0"/>
              <w:divBdr>
                <w:top w:val="none" w:sz="0" w:space="0" w:color="auto"/>
                <w:left w:val="none" w:sz="0" w:space="0" w:color="auto"/>
                <w:bottom w:val="none" w:sz="0" w:space="0" w:color="auto"/>
                <w:right w:val="none" w:sz="0" w:space="0" w:color="auto"/>
              </w:divBdr>
              <w:divsChild>
                <w:div w:id="526067493">
                  <w:marLeft w:val="0"/>
                  <w:marRight w:val="0"/>
                  <w:marTop w:val="0"/>
                  <w:marBottom w:val="0"/>
                  <w:divBdr>
                    <w:top w:val="none" w:sz="0" w:space="0" w:color="auto"/>
                    <w:left w:val="none" w:sz="0" w:space="0" w:color="auto"/>
                    <w:bottom w:val="none" w:sz="0" w:space="0" w:color="auto"/>
                    <w:right w:val="none" w:sz="0" w:space="0" w:color="auto"/>
                  </w:divBdr>
                </w:div>
              </w:divsChild>
            </w:div>
            <w:div w:id="44718552">
              <w:marLeft w:val="0"/>
              <w:marRight w:val="0"/>
              <w:marTop w:val="0"/>
              <w:marBottom w:val="0"/>
              <w:divBdr>
                <w:top w:val="none" w:sz="0" w:space="0" w:color="auto"/>
                <w:left w:val="none" w:sz="0" w:space="0" w:color="auto"/>
                <w:bottom w:val="none" w:sz="0" w:space="0" w:color="auto"/>
                <w:right w:val="none" w:sz="0" w:space="0" w:color="auto"/>
              </w:divBdr>
              <w:divsChild>
                <w:div w:id="218905507">
                  <w:marLeft w:val="0"/>
                  <w:marRight w:val="0"/>
                  <w:marTop w:val="0"/>
                  <w:marBottom w:val="0"/>
                  <w:divBdr>
                    <w:top w:val="none" w:sz="0" w:space="0" w:color="auto"/>
                    <w:left w:val="none" w:sz="0" w:space="0" w:color="auto"/>
                    <w:bottom w:val="none" w:sz="0" w:space="0" w:color="auto"/>
                    <w:right w:val="none" w:sz="0" w:space="0" w:color="auto"/>
                  </w:divBdr>
                </w:div>
              </w:divsChild>
            </w:div>
            <w:div w:id="445001030">
              <w:marLeft w:val="0"/>
              <w:marRight w:val="0"/>
              <w:marTop w:val="0"/>
              <w:marBottom w:val="0"/>
              <w:divBdr>
                <w:top w:val="none" w:sz="0" w:space="0" w:color="auto"/>
                <w:left w:val="none" w:sz="0" w:space="0" w:color="auto"/>
                <w:bottom w:val="none" w:sz="0" w:space="0" w:color="auto"/>
                <w:right w:val="none" w:sz="0" w:space="0" w:color="auto"/>
              </w:divBdr>
              <w:divsChild>
                <w:div w:id="1421565786">
                  <w:marLeft w:val="0"/>
                  <w:marRight w:val="0"/>
                  <w:marTop w:val="0"/>
                  <w:marBottom w:val="0"/>
                  <w:divBdr>
                    <w:top w:val="none" w:sz="0" w:space="0" w:color="auto"/>
                    <w:left w:val="none" w:sz="0" w:space="0" w:color="auto"/>
                    <w:bottom w:val="none" w:sz="0" w:space="0" w:color="auto"/>
                    <w:right w:val="none" w:sz="0" w:space="0" w:color="auto"/>
                  </w:divBdr>
                </w:div>
              </w:divsChild>
            </w:div>
            <w:div w:id="161049649">
              <w:marLeft w:val="0"/>
              <w:marRight w:val="0"/>
              <w:marTop w:val="0"/>
              <w:marBottom w:val="0"/>
              <w:divBdr>
                <w:top w:val="none" w:sz="0" w:space="0" w:color="auto"/>
                <w:left w:val="none" w:sz="0" w:space="0" w:color="auto"/>
                <w:bottom w:val="none" w:sz="0" w:space="0" w:color="auto"/>
                <w:right w:val="none" w:sz="0" w:space="0" w:color="auto"/>
              </w:divBdr>
              <w:divsChild>
                <w:div w:id="1646620653">
                  <w:marLeft w:val="0"/>
                  <w:marRight w:val="0"/>
                  <w:marTop w:val="0"/>
                  <w:marBottom w:val="0"/>
                  <w:divBdr>
                    <w:top w:val="none" w:sz="0" w:space="0" w:color="auto"/>
                    <w:left w:val="none" w:sz="0" w:space="0" w:color="auto"/>
                    <w:bottom w:val="none" w:sz="0" w:space="0" w:color="auto"/>
                    <w:right w:val="none" w:sz="0" w:space="0" w:color="auto"/>
                  </w:divBdr>
                </w:div>
              </w:divsChild>
            </w:div>
            <w:div w:id="1531333341">
              <w:marLeft w:val="0"/>
              <w:marRight w:val="0"/>
              <w:marTop w:val="0"/>
              <w:marBottom w:val="0"/>
              <w:divBdr>
                <w:top w:val="none" w:sz="0" w:space="0" w:color="auto"/>
                <w:left w:val="none" w:sz="0" w:space="0" w:color="auto"/>
                <w:bottom w:val="none" w:sz="0" w:space="0" w:color="auto"/>
                <w:right w:val="none" w:sz="0" w:space="0" w:color="auto"/>
              </w:divBdr>
              <w:divsChild>
                <w:div w:id="1245265466">
                  <w:marLeft w:val="0"/>
                  <w:marRight w:val="0"/>
                  <w:marTop w:val="0"/>
                  <w:marBottom w:val="0"/>
                  <w:divBdr>
                    <w:top w:val="none" w:sz="0" w:space="0" w:color="auto"/>
                    <w:left w:val="none" w:sz="0" w:space="0" w:color="auto"/>
                    <w:bottom w:val="none" w:sz="0" w:space="0" w:color="auto"/>
                    <w:right w:val="none" w:sz="0" w:space="0" w:color="auto"/>
                  </w:divBdr>
                </w:div>
              </w:divsChild>
            </w:div>
            <w:div w:id="72894356">
              <w:marLeft w:val="0"/>
              <w:marRight w:val="0"/>
              <w:marTop w:val="0"/>
              <w:marBottom w:val="0"/>
              <w:divBdr>
                <w:top w:val="none" w:sz="0" w:space="0" w:color="auto"/>
                <w:left w:val="none" w:sz="0" w:space="0" w:color="auto"/>
                <w:bottom w:val="none" w:sz="0" w:space="0" w:color="auto"/>
                <w:right w:val="none" w:sz="0" w:space="0" w:color="auto"/>
              </w:divBdr>
              <w:divsChild>
                <w:div w:id="226233448">
                  <w:marLeft w:val="0"/>
                  <w:marRight w:val="0"/>
                  <w:marTop w:val="0"/>
                  <w:marBottom w:val="0"/>
                  <w:divBdr>
                    <w:top w:val="none" w:sz="0" w:space="0" w:color="auto"/>
                    <w:left w:val="none" w:sz="0" w:space="0" w:color="auto"/>
                    <w:bottom w:val="none" w:sz="0" w:space="0" w:color="auto"/>
                    <w:right w:val="none" w:sz="0" w:space="0" w:color="auto"/>
                  </w:divBdr>
                </w:div>
              </w:divsChild>
            </w:div>
            <w:div w:id="478376277">
              <w:marLeft w:val="0"/>
              <w:marRight w:val="0"/>
              <w:marTop w:val="0"/>
              <w:marBottom w:val="0"/>
              <w:divBdr>
                <w:top w:val="none" w:sz="0" w:space="0" w:color="auto"/>
                <w:left w:val="none" w:sz="0" w:space="0" w:color="auto"/>
                <w:bottom w:val="none" w:sz="0" w:space="0" w:color="auto"/>
                <w:right w:val="none" w:sz="0" w:space="0" w:color="auto"/>
              </w:divBdr>
              <w:divsChild>
                <w:div w:id="294257168">
                  <w:marLeft w:val="0"/>
                  <w:marRight w:val="0"/>
                  <w:marTop w:val="0"/>
                  <w:marBottom w:val="0"/>
                  <w:divBdr>
                    <w:top w:val="none" w:sz="0" w:space="0" w:color="auto"/>
                    <w:left w:val="none" w:sz="0" w:space="0" w:color="auto"/>
                    <w:bottom w:val="none" w:sz="0" w:space="0" w:color="auto"/>
                    <w:right w:val="none" w:sz="0" w:space="0" w:color="auto"/>
                  </w:divBdr>
                </w:div>
              </w:divsChild>
            </w:div>
            <w:div w:id="497233452">
              <w:marLeft w:val="0"/>
              <w:marRight w:val="0"/>
              <w:marTop w:val="0"/>
              <w:marBottom w:val="0"/>
              <w:divBdr>
                <w:top w:val="none" w:sz="0" w:space="0" w:color="auto"/>
                <w:left w:val="none" w:sz="0" w:space="0" w:color="auto"/>
                <w:bottom w:val="none" w:sz="0" w:space="0" w:color="auto"/>
                <w:right w:val="none" w:sz="0" w:space="0" w:color="auto"/>
              </w:divBdr>
              <w:divsChild>
                <w:div w:id="80224716">
                  <w:marLeft w:val="0"/>
                  <w:marRight w:val="0"/>
                  <w:marTop w:val="0"/>
                  <w:marBottom w:val="0"/>
                  <w:divBdr>
                    <w:top w:val="none" w:sz="0" w:space="0" w:color="auto"/>
                    <w:left w:val="none" w:sz="0" w:space="0" w:color="auto"/>
                    <w:bottom w:val="none" w:sz="0" w:space="0" w:color="auto"/>
                    <w:right w:val="none" w:sz="0" w:space="0" w:color="auto"/>
                  </w:divBdr>
                </w:div>
              </w:divsChild>
            </w:div>
            <w:div w:id="1269266476">
              <w:marLeft w:val="0"/>
              <w:marRight w:val="0"/>
              <w:marTop w:val="0"/>
              <w:marBottom w:val="0"/>
              <w:divBdr>
                <w:top w:val="none" w:sz="0" w:space="0" w:color="auto"/>
                <w:left w:val="none" w:sz="0" w:space="0" w:color="auto"/>
                <w:bottom w:val="none" w:sz="0" w:space="0" w:color="auto"/>
                <w:right w:val="none" w:sz="0" w:space="0" w:color="auto"/>
              </w:divBdr>
              <w:divsChild>
                <w:div w:id="1748189814">
                  <w:marLeft w:val="0"/>
                  <w:marRight w:val="0"/>
                  <w:marTop w:val="0"/>
                  <w:marBottom w:val="0"/>
                  <w:divBdr>
                    <w:top w:val="none" w:sz="0" w:space="0" w:color="auto"/>
                    <w:left w:val="none" w:sz="0" w:space="0" w:color="auto"/>
                    <w:bottom w:val="none" w:sz="0" w:space="0" w:color="auto"/>
                    <w:right w:val="none" w:sz="0" w:space="0" w:color="auto"/>
                  </w:divBdr>
                </w:div>
              </w:divsChild>
            </w:div>
            <w:div w:id="1672367745">
              <w:marLeft w:val="0"/>
              <w:marRight w:val="0"/>
              <w:marTop w:val="0"/>
              <w:marBottom w:val="0"/>
              <w:divBdr>
                <w:top w:val="none" w:sz="0" w:space="0" w:color="auto"/>
                <w:left w:val="none" w:sz="0" w:space="0" w:color="auto"/>
                <w:bottom w:val="none" w:sz="0" w:space="0" w:color="auto"/>
                <w:right w:val="none" w:sz="0" w:space="0" w:color="auto"/>
              </w:divBdr>
              <w:divsChild>
                <w:div w:id="1717002990">
                  <w:marLeft w:val="0"/>
                  <w:marRight w:val="0"/>
                  <w:marTop w:val="0"/>
                  <w:marBottom w:val="0"/>
                  <w:divBdr>
                    <w:top w:val="none" w:sz="0" w:space="0" w:color="auto"/>
                    <w:left w:val="none" w:sz="0" w:space="0" w:color="auto"/>
                    <w:bottom w:val="none" w:sz="0" w:space="0" w:color="auto"/>
                    <w:right w:val="none" w:sz="0" w:space="0" w:color="auto"/>
                  </w:divBdr>
                </w:div>
              </w:divsChild>
            </w:div>
            <w:div w:id="91172345">
              <w:marLeft w:val="0"/>
              <w:marRight w:val="0"/>
              <w:marTop w:val="0"/>
              <w:marBottom w:val="0"/>
              <w:divBdr>
                <w:top w:val="none" w:sz="0" w:space="0" w:color="auto"/>
                <w:left w:val="none" w:sz="0" w:space="0" w:color="auto"/>
                <w:bottom w:val="none" w:sz="0" w:space="0" w:color="auto"/>
                <w:right w:val="none" w:sz="0" w:space="0" w:color="auto"/>
              </w:divBdr>
              <w:divsChild>
                <w:div w:id="1330793681">
                  <w:marLeft w:val="0"/>
                  <w:marRight w:val="0"/>
                  <w:marTop w:val="0"/>
                  <w:marBottom w:val="0"/>
                  <w:divBdr>
                    <w:top w:val="none" w:sz="0" w:space="0" w:color="auto"/>
                    <w:left w:val="none" w:sz="0" w:space="0" w:color="auto"/>
                    <w:bottom w:val="none" w:sz="0" w:space="0" w:color="auto"/>
                    <w:right w:val="none" w:sz="0" w:space="0" w:color="auto"/>
                  </w:divBdr>
                </w:div>
              </w:divsChild>
            </w:div>
            <w:div w:id="175271700">
              <w:marLeft w:val="0"/>
              <w:marRight w:val="0"/>
              <w:marTop w:val="0"/>
              <w:marBottom w:val="0"/>
              <w:divBdr>
                <w:top w:val="none" w:sz="0" w:space="0" w:color="auto"/>
                <w:left w:val="none" w:sz="0" w:space="0" w:color="auto"/>
                <w:bottom w:val="none" w:sz="0" w:space="0" w:color="auto"/>
                <w:right w:val="none" w:sz="0" w:space="0" w:color="auto"/>
              </w:divBdr>
              <w:divsChild>
                <w:div w:id="1338537929">
                  <w:marLeft w:val="0"/>
                  <w:marRight w:val="0"/>
                  <w:marTop w:val="0"/>
                  <w:marBottom w:val="0"/>
                  <w:divBdr>
                    <w:top w:val="none" w:sz="0" w:space="0" w:color="auto"/>
                    <w:left w:val="none" w:sz="0" w:space="0" w:color="auto"/>
                    <w:bottom w:val="none" w:sz="0" w:space="0" w:color="auto"/>
                    <w:right w:val="none" w:sz="0" w:space="0" w:color="auto"/>
                  </w:divBdr>
                </w:div>
              </w:divsChild>
            </w:div>
            <w:div w:id="115411661">
              <w:marLeft w:val="0"/>
              <w:marRight w:val="0"/>
              <w:marTop w:val="0"/>
              <w:marBottom w:val="0"/>
              <w:divBdr>
                <w:top w:val="none" w:sz="0" w:space="0" w:color="auto"/>
                <w:left w:val="none" w:sz="0" w:space="0" w:color="auto"/>
                <w:bottom w:val="none" w:sz="0" w:space="0" w:color="auto"/>
                <w:right w:val="none" w:sz="0" w:space="0" w:color="auto"/>
              </w:divBdr>
              <w:divsChild>
                <w:div w:id="204410357">
                  <w:marLeft w:val="0"/>
                  <w:marRight w:val="0"/>
                  <w:marTop w:val="0"/>
                  <w:marBottom w:val="0"/>
                  <w:divBdr>
                    <w:top w:val="none" w:sz="0" w:space="0" w:color="auto"/>
                    <w:left w:val="none" w:sz="0" w:space="0" w:color="auto"/>
                    <w:bottom w:val="none" w:sz="0" w:space="0" w:color="auto"/>
                    <w:right w:val="none" w:sz="0" w:space="0" w:color="auto"/>
                  </w:divBdr>
                </w:div>
              </w:divsChild>
            </w:div>
            <w:div w:id="856310682">
              <w:marLeft w:val="0"/>
              <w:marRight w:val="0"/>
              <w:marTop w:val="0"/>
              <w:marBottom w:val="0"/>
              <w:divBdr>
                <w:top w:val="none" w:sz="0" w:space="0" w:color="auto"/>
                <w:left w:val="none" w:sz="0" w:space="0" w:color="auto"/>
                <w:bottom w:val="none" w:sz="0" w:space="0" w:color="auto"/>
                <w:right w:val="none" w:sz="0" w:space="0" w:color="auto"/>
              </w:divBdr>
              <w:divsChild>
                <w:div w:id="1570383496">
                  <w:marLeft w:val="0"/>
                  <w:marRight w:val="0"/>
                  <w:marTop w:val="0"/>
                  <w:marBottom w:val="0"/>
                  <w:divBdr>
                    <w:top w:val="none" w:sz="0" w:space="0" w:color="auto"/>
                    <w:left w:val="none" w:sz="0" w:space="0" w:color="auto"/>
                    <w:bottom w:val="none" w:sz="0" w:space="0" w:color="auto"/>
                    <w:right w:val="none" w:sz="0" w:space="0" w:color="auto"/>
                  </w:divBdr>
                </w:div>
              </w:divsChild>
            </w:div>
            <w:div w:id="35783229">
              <w:marLeft w:val="0"/>
              <w:marRight w:val="0"/>
              <w:marTop w:val="0"/>
              <w:marBottom w:val="0"/>
              <w:divBdr>
                <w:top w:val="none" w:sz="0" w:space="0" w:color="auto"/>
                <w:left w:val="none" w:sz="0" w:space="0" w:color="auto"/>
                <w:bottom w:val="none" w:sz="0" w:space="0" w:color="auto"/>
                <w:right w:val="none" w:sz="0" w:space="0" w:color="auto"/>
              </w:divBdr>
              <w:divsChild>
                <w:div w:id="135222238">
                  <w:marLeft w:val="0"/>
                  <w:marRight w:val="0"/>
                  <w:marTop w:val="0"/>
                  <w:marBottom w:val="0"/>
                  <w:divBdr>
                    <w:top w:val="none" w:sz="0" w:space="0" w:color="auto"/>
                    <w:left w:val="none" w:sz="0" w:space="0" w:color="auto"/>
                    <w:bottom w:val="none" w:sz="0" w:space="0" w:color="auto"/>
                    <w:right w:val="none" w:sz="0" w:space="0" w:color="auto"/>
                  </w:divBdr>
                </w:div>
              </w:divsChild>
            </w:div>
            <w:div w:id="1418936581">
              <w:marLeft w:val="0"/>
              <w:marRight w:val="0"/>
              <w:marTop w:val="0"/>
              <w:marBottom w:val="0"/>
              <w:divBdr>
                <w:top w:val="none" w:sz="0" w:space="0" w:color="auto"/>
                <w:left w:val="none" w:sz="0" w:space="0" w:color="auto"/>
                <w:bottom w:val="none" w:sz="0" w:space="0" w:color="auto"/>
                <w:right w:val="none" w:sz="0" w:space="0" w:color="auto"/>
              </w:divBdr>
              <w:divsChild>
                <w:div w:id="1704671151">
                  <w:marLeft w:val="0"/>
                  <w:marRight w:val="0"/>
                  <w:marTop w:val="0"/>
                  <w:marBottom w:val="0"/>
                  <w:divBdr>
                    <w:top w:val="none" w:sz="0" w:space="0" w:color="auto"/>
                    <w:left w:val="none" w:sz="0" w:space="0" w:color="auto"/>
                    <w:bottom w:val="none" w:sz="0" w:space="0" w:color="auto"/>
                    <w:right w:val="none" w:sz="0" w:space="0" w:color="auto"/>
                  </w:divBdr>
                </w:div>
              </w:divsChild>
            </w:div>
            <w:div w:id="964894887">
              <w:marLeft w:val="0"/>
              <w:marRight w:val="0"/>
              <w:marTop w:val="0"/>
              <w:marBottom w:val="0"/>
              <w:divBdr>
                <w:top w:val="none" w:sz="0" w:space="0" w:color="auto"/>
                <w:left w:val="none" w:sz="0" w:space="0" w:color="auto"/>
                <w:bottom w:val="none" w:sz="0" w:space="0" w:color="auto"/>
                <w:right w:val="none" w:sz="0" w:space="0" w:color="auto"/>
              </w:divBdr>
              <w:divsChild>
                <w:div w:id="2063476643">
                  <w:marLeft w:val="0"/>
                  <w:marRight w:val="0"/>
                  <w:marTop w:val="0"/>
                  <w:marBottom w:val="0"/>
                  <w:divBdr>
                    <w:top w:val="none" w:sz="0" w:space="0" w:color="auto"/>
                    <w:left w:val="none" w:sz="0" w:space="0" w:color="auto"/>
                    <w:bottom w:val="none" w:sz="0" w:space="0" w:color="auto"/>
                    <w:right w:val="none" w:sz="0" w:space="0" w:color="auto"/>
                  </w:divBdr>
                </w:div>
              </w:divsChild>
            </w:div>
            <w:div w:id="2122988790">
              <w:marLeft w:val="0"/>
              <w:marRight w:val="0"/>
              <w:marTop w:val="0"/>
              <w:marBottom w:val="0"/>
              <w:divBdr>
                <w:top w:val="none" w:sz="0" w:space="0" w:color="auto"/>
                <w:left w:val="none" w:sz="0" w:space="0" w:color="auto"/>
                <w:bottom w:val="none" w:sz="0" w:space="0" w:color="auto"/>
                <w:right w:val="none" w:sz="0" w:space="0" w:color="auto"/>
              </w:divBdr>
              <w:divsChild>
                <w:div w:id="865287532">
                  <w:marLeft w:val="0"/>
                  <w:marRight w:val="0"/>
                  <w:marTop w:val="0"/>
                  <w:marBottom w:val="0"/>
                  <w:divBdr>
                    <w:top w:val="none" w:sz="0" w:space="0" w:color="auto"/>
                    <w:left w:val="none" w:sz="0" w:space="0" w:color="auto"/>
                    <w:bottom w:val="none" w:sz="0" w:space="0" w:color="auto"/>
                    <w:right w:val="none" w:sz="0" w:space="0" w:color="auto"/>
                  </w:divBdr>
                </w:div>
              </w:divsChild>
            </w:div>
            <w:div w:id="1047610584">
              <w:marLeft w:val="0"/>
              <w:marRight w:val="0"/>
              <w:marTop w:val="0"/>
              <w:marBottom w:val="0"/>
              <w:divBdr>
                <w:top w:val="none" w:sz="0" w:space="0" w:color="auto"/>
                <w:left w:val="none" w:sz="0" w:space="0" w:color="auto"/>
                <w:bottom w:val="none" w:sz="0" w:space="0" w:color="auto"/>
                <w:right w:val="none" w:sz="0" w:space="0" w:color="auto"/>
              </w:divBdr>
              <w:divsChild>
                <w:div w:id="1444377069">
                  <w:marLeft w:val="0"/>
                  <w:marRight w:val="0"/>
                  <w:marTop w:val="0"/>
                  <w:marBottom w:val="0"/>
                  <w:divBdr>
                    <w:top w:val="none" w:sz="0" w:space="0" w:color="auto"/>
                    <w:left w:val="none" w:sz="0" w:space="0" w:color="auto"/>
                    <w:bottom w:val="none" w:sz="0" w:space="0" w:color="auto"/>
                    <w:right w:val="none" w:sz="0" w:space="0" w:color="auto"/>
                  </w:divBdr>
                </w:div>
              </w:divsChild>
            </w:div>
            <w:div w:id="1493644373">
              <w:marLeft w:val="0"/>
              <w:marRight w:val="0"/>
              <w:marTop w:val="0"/>
              <w:marBottom w:val="0"/>
              <w:divBdr>
                <w:top w:val="none" w:sz="0" w:space="0" w:color="auto"/>
                <w:left w:val="none" w:sz="0" w:space="0" w:color="auto"/>
                <w:bottom w:val="none" w:sz="0" w:space="0" w:color="auto"/>
                <w:right w:val="none" w:sz="0" w:space="0" w:color="auto"/>
              </w:divBdr>
              <w:divsChild>
                <w:div w:id="862866523">
                  <w:marLeft w:val="0"/>
                  <w:marRight w:val="0"/>
                  <w:marTop w:val="0"/>
                  <w:marBottom w:val="0"/>
                  <w:divBdr>
                    <w:top w:val="none" w:sz="0" w:space="0" w:color="auto"/>
                    <w:left w:val="none" w:sz="0" w:space="0" w:color="auto"/>
                    <w:bottom w:val="none" w:sz="0" w:space="0" w:color="auto"/>
                    <w:right w:val="none" w:sz="0" w:space="0" w:color="auto"/>
                  </w:divBdr>
                </w:div>
              </w:divsChild>
            </w:div>
            <w:div w:id="64227289">
              <w:marLeft w:val="0"/>
              <w:marRight w:val="0"/>
              <w:marTop w:val="0"/>
              <w:marBottom w:val="0"/>
              <w:divBdr>
                <w:top w:val="none" w:sz="0" w:space="0" w:color="auto"/>
                <w:left w:val="none" w:sz="0" w:space="0" w:color="auto"/>
                <w:bottom w:val="none" w:sz="0" w:space="0" w:color="auto"/>
                <w:right w:val="none" w:sz="0" w:space="0" w:color="auto"/>
              </w:divBdr>
              <w:divsChild>
                <w:div w:id="89662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1783999">
      <w:bodyDiv w:val="1"/>
      <w:marLeft w:val="0"/>
      <w:marRight w:val="0"/>
      <w:marTop w:val="0"/>
      <w:marBottom w:val="0"/>
      <w:divBdr>
        <w:top w:val="none" w:sz="0" w:space="0" w:color="auto"/>
        <w:left w:val="none" w:sz="0" w:space="0" w:color="auto"/>
        <w:bottom w:val="none" w:sz="0" w:space="0" w:color="auto"/>
        <w:right w:val="none" w:sz="0" w:space="0" w:color="auto"/>
      </w:divBdr>
    </w:div>
    <w:div w:id="741488014">
      <w:bodyDiv w:val="1"/>
      <w:marLeft w:val="0"/>
      <w:marRight w:val="0"/>
      <w:marTop w:val="0"/>
      <w:marBottom w:val="0"/>
      <w:divBdr>
        <w:top w:val="none" w:sz="0" w:space="0" w:color="auto"/>
        <w:left w:val="none" w:sz="0" w:space="0" w:color="auto"/>
        <w:bottom w:val="none" w:sz="0" w:space="0" w:color="auto"/>
        <w:right w:val="none" w:sz="0" w:space="0" w:color="auto"/>
      </w:divBdr>
    </w:div>
    <w:div w:id="828062020">
      <w:bodyDiv w:val="1"/>
      <w:marLeft w:val="0"/>
      <w:marRight w:val="0"/>
      <w:marTop w:val="0"/>
      <w:marBottom w:val="0"/>
      <w:divBdr>
        <w:top w:val="none" w:sz="0" w:space="0" w:color="auto"/>
        <w:left w:val="none" w:sz="0" w:space="0" w:color="auto"/>
        <w:bottom w:val="none" w:sz="0" w:space="0" w:color="auto"/>
        <w:right w:val="none" w:sz="0" w:space="0" w:color="auto"/>
      </w:divBdr>
    </w:div>
    <w:div w:id="849178858">
      <w:bodyDiv w:val="1"/>
      <w:marLeft w:val="0"/>
      <w:marRight w:val="0"/>
      <w:marTop w:val="0"/>
      <w:marBottom w:val="0"/>
      <w:divBdr>
        <w:top w:val="none" w:sz="0" w:space="0" w:color="auto"/>
        <w:left w:val="none" w:sz="0" w:space="0" w:color="auto"/>
        <w:bottom w:val="none" w:sz="0" w:space="0" w:color="auto"/>
        <w:right w:val="none" w:sz="0" w:space="0" w:color="auto"/>
      </w:divBdr>
    </w:div>
    <w:div w:id="896673367">
      <w:bodyDiv w:val="1"/>
      <w:marLeft w:val="0"/>
      <w:marRight w:val="0"/>
      <w:marTop w:val="0"/>
      <w:marBottom w:val="0"/>
      <w:divBdr>
        <w:top w:val="none" w:sz="0" w:space="0" w:color="auto"/>
        <w:left w:val="none" w:sz="0" w:space="0" w:color="auto"/>
        <w:bottom w:val="none" w:sz="0" w:space="0" w:color="auto"/>
        <w:right w:val="none" w:sz="0" w:space="0" w:color="auto"/>
      </w:divBdr>
    </w:div>
    <w:div w:id="968164081">
      <w:bodyDiv w:val="1"/>
      <w:marLeft w:val="0"/>
      <w:marRight w:val="0"/>
      <w:marTop w:val="0"/>
      <w:marBottom w:val="0"/>
      <w:divBdr>
        <w:top w:val="none" w:sz="0" w:space="0" w:color="auto"/>
        <w:left w:val="none" w:sz="0" w:space="0" w:color="auto"/>
        <w:bottom w:val="none" w:sz="0" w:space="0" w:color="auto"/>
        <w:right w:val="none" w:sz="0" w:space="0" w:color="auto"/>
      </w:divBdr>
    </w:div>
    <w:div w:id="1021013640">
      <w:bodyDiv w:val="1"/>
      <w:marLeft w:val="0"/>
      <w:marRight w:val="0"/>
      <w:marTop w:val="0"/>
      <w:marBottom w:val="0"/>
      <w:divBdr>
        <w:top w:val="none" w:sz="0" w:space="0" w:color="auto"/>
        <w:left w:val="none" w:sz="0" w:space="0" w:color="auto"/>
        <w:bottom w:val="none" w:sz="0" w:space="0" w:color="auto"/>
        <w:right w:val="none" w:sz="0" w:space="0" w:color="auto"/>
      </w:divBdr>
    </w:div>
    <w:div w:id="1033307343">
      <w:bodyDiv w:val="1"/>
      <w:marLeft w:val="0"/>
      <w:marRight w:val="0"/>
      <w:marTop w:val="0"/>
      <w:marBottom w:val="0"/>
      <w:divBdr>
        <w:top w:val="none" w:sz="0" w:space="0" w:color="auto"/>
        <w:left w:val="none" w:sz="0" w:space="0" w:color="auto"/>
        <w:bottom w:val="none" w:sz="0" w:space="0" w:color="auto"/>
        <w:right w:val="none" w:sz="0" w:space="0" w:color="auto"/>
      </w:divBdr>
    </w:div>
    <w:div w:id="1061749375">
      <w:bodyDiv w:val="1"/>
      <w:marLeft w:val="0"/>
      <w:marRight w:val="0"/>
      <w:marTop w:val="0"/>
      <w:marBottom w:val="0"/>
      <w:divBdr>
        <w:top w:val="none" w:sz="0" w:space="0" w:color="auto"/>
        <w:left w:val="none" w:sz="0" w:space="0" w:color="auto"/>
        <w:bottom w:val="none" w:sz="0" w:space="0" w:color="auto"/>
        <w:right w:val="none" w:sz="0" w:space="0" w:color="auto"/>
      </w:divBdr>
    </w:div>
    <w:div w:id="1149706710">
      <w:bodyDiv w:val="1"/>
      <w:marLeft w:val="0"/>
      <w:marRight w:val="0"/>
      <w:marTop w:val="0"/>
      <w:marBottom w:val="0"/>
      <w:divBdr>
        <w:top w:val="none" w:sz="0" w:space="0" w:color="auto"/>
        <w:left w:val="none" w:sz="0" w:space="0" w:color="auto"/>
        <w:bottom w:val="none" w:sz="0" w:space="0" w:color="auto"/>
        <w:right w:val="none" w:sz="0" w:space="0" w:color="auto"/>
      </w:divBdr>
    </w:div>
    <w:div w:id="1184784169">
      <w:bodyDiv w:val="1"/>
      <w:marLeft w:val="0"/>
      <w:marRight w:val="0"/>
      <w:marTop w:val="0"/>
      <w:marBottom w:val="0"/>
      <w:divBdr>
        <w:top w:val="none" w:sz="0" w:space="0" w:color="auto"/>
        <w:left w:val="none" w:sz="0" w:space="0" w:color="auto"/>
        <w:bottom w:val="none" w:sz="0" w:space="0" w:color="auto"/>
        <w:right w:val="none" w:sz="0" w:space="0" w:color="auto"/>
      </w:divBdr>
    </w:div>
    <w:div w:id="1268807736">
      <w:bodyDiv w:val="1"/>
      <w:marLeft w:val="0"/>
      <w:marRight w:val="0"/>
      <w:marTop w:val="0"/>
      <w:marBottom w:val="0"/>
      <w:divBdr>
        <w:top w:val="none" w:sz="0" w:space="0" w:color="auto"/>
        <w:left w:val="none" w:sz="0" w:space="0" w:color="auto"/>
        <w:bottom w:val="none" w:sz="0" w:space="0" w:color="auto"/>
        <w:right w:val="none" w:sz="0" w:space="0" w:color="auto"/>
      </w:divBdr>
    </w:div>
    <w:div w:id="1284190572">
      <w:bodyDiv w:val="1"/>
      <w:marLeft w:val="0"/>
      <w:marRight w:val="0"/>
      <w:marTop w:val="0"/>
      <w:marBottom w:val="0"/>
      <w:divBdr>
        <w:top w:val="none" w:sz="0" w:space="0" w:color="auto"/>
        <w:left w:val="none" w:sz="0" w:space="0" w:color="auto"/>
        <w:bottom w:val="none" w:sz="0" w:space="0" w:color="auto"/>
        <w:right w:val="none" w:sz="0" w:space="0" w:color="auto"/>
      </w:divBdr>
    </w:div>
    <w:div w:id="1353148560">
      <w:bodyDiv w:val="1"/>
      <w:marLeft w:val="0"/>
      <w:marRight w:val="0"/>
      <w:marTop w:val="0"/>
      <w:marBottom w:val="0"/>
      <w:divBdr>
        <w:top w:val="none" w:sz="0" w:space="0" w:color="auto"/>
        <w:left w:val="none" w:sz="0" w:space="0" w:color="auto"/>
        <w:bottom w:val="none" w:sz="0" w:space="0" w:color="auto"/>
        <w:right w:val="none" w:sz="0" w:space="0" w:color="auto"/>
      </w:divBdr>
    </w:div>
    <w:div w:id="1353915588">
      <w:bodyDiv w:val="1"/>
      <w:marLeft w:val="0"/>
      <w:marRight w:val="0"/>
      <w:marTop w:val="0"/>
      <w:marBottom w:val="0"/>
      <w:divBdr>
        <w:top w:val="none" w:sz="0" w:space="0" w:color="auto"/>
        <w:left w:val="none" w:sz="0" w:space="0" w:color="auto"/>
        <w:bottom w:val="none" w:sz="0" w:space="0" w:color="auto"/>
        <w:right w:val="none" w:sz="0" w:space="0" w:color="auto"/>
      </w:divBdr>
    </w:div>
    <w:div w:id="1416242738">
      <w:bodyDiv w:val="1"/>
      <w:marLeft w:val="0"/>
      <w:marRight w:val="0"/>
      <w:marTop w:val="0"/>
      <w:marBottom w:val="0"/>
      <w:divBdr>
        <w:top w:val="none" w:sz="0" w:space="0" w:color="auto"/>
        <w:left w:val="none" w:sz="0" w:space="0" w:color="auto"/>
        <w:bottom w:val="none" w:sz="0" w:space="0" w:color="auto"/>
        <w:right w:val="none" w:sz="0" w:space="0" w:color="auto"/>
      </w:divBdr>
    </w:div>
    <w:div w:id="1615089238">
      <w:bodyDiv w:val="1"/>
      <w:marLeft w:val="0"/>
      <w:marRight w:val="0"/>
      <w:marTop w:val="0"/>
      <w:marBottom w:val="0"/>
      <w:divBdr>
        <w:top w:val="none" w:sz="0" w:space="0" w:color="auto"/>
        <w:left w:val="none" w:sz="0" w:space="0" w:color="auto"/>
        <w:bottom w:val="none" w:sz="0" w:space="0" w:color="auto"/>
        <w:right w:val="none" w:sz="0" w:space="0" w:color="auto"/>
      </w:divBdr>
    </w:div>
    <w:div w:id="1758938986">
      <w:bodyDiv w:val="1"/>
      <w:marLeft w:val="0"/>
      <w:marRight w:val="0"/>
      <w:marTop w:val="0"/>
      <w:marBottom w:val="0"/>
      <w:divBdr>
        <w:top w:val="none" w:sz="0" w:space="0" w:color="auto"/>
        <w:left w:val="none" w:sz="0" w:space="0" w:color="auto"/>
        <w:bottom w:val="none" w:sz="0" w:space="0" w:color="auto"/>
        <w:right w:val="none" w:sz="0" w:space="0" w:color="auto"/>
      </w:divBdr>
    </w:div>
    <w:div w:id="2020430232">
      <w:bodyDiv w:val="1"/>
      <w:marLeft w:val="0"/>
      <w:marRight w:val="0"/>
      <w:marTop w:val="0"/>
      <w:marBottom w:val="0"/>
      <w:divBdr>
        <w:top w:val="none" w:sz="0" w:space="0" w:color="auto"/>
        <w:left w:val="none" w:sz="0" w:space="0" w:color="auto"/>
        <w:bottom w:val="none" w:sz="0" w:space="0" w:color="auto"/>
        <w:right w:val="none" w:sz="0" w:space="0" w:color="auto"/>
      </w:divBdr>
    </w:div>
    <w:div w:id="2022007556">
      <w:bodyDiv w:val="1"/>
      <w:marLeft w:val="0"/>
      <w:marRight w:val="0"/>
      <w:marTop w:val="0"/>
      <w:marBottom w:val="0"/>
      <w:divBdr>
        <w:top w:val="none" w:sz="0" w:space="0" w:color="auto"/>
        <w:left w:val="none" w:sz="0" w:space="0" w:color="auto"/>
        <w:bottom w:val="none" w:sz="0" w:space="0" w:color="auto"/>
        <w:right w:val="none" w:sz="0" w:space="0" w:color="auto"/>
      </w:divBdr>
    </w:div>
    <w:div w:id="2087220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F5F49A050468C44BEBE787D58D17299" ma:contentTypeVersion="31" ma:contentTypeDescription="Create a new document." ma:contentTypeScope="" ma:versionID="5b968581d1ee9f478e37cbd1d98fc9c1">
  <xsd:schema xmlns:xsd="http://www.w3.org/2001/XMLSchema" xmlns:xs="http://www.w3.org/2001/XMLSchema" xmlns:p="http://schemas.microsoft.com/office/2006/metadata/properties" xmlns:ns1="http://schemas.microsoft.com/sharepoint/v3" xmlns:ns2="56d5910f-b346-4e68-aabe-d296ee4e7db0" xmlns:ns3="f3aabf46-efe1-4544-843d-6ff52fb05842" xmlns:ns4="51bfcd92-eb3e-40f4-8778-2bbfb88a890b" xmlns:ns5="cccaf3ac-2de9-44d4-aa31-54302fceb5f7" targetNamespace="http://schemas.microsoft.com/office/2006/metadata/properties" ma:root="true" ma:fieldsID="a341458a99567b6ce20110d9bf1d0806" ns1:_="" ns2:_="" ns3:_="" ns4:_="" ns5:_="">
    <xsd:import namespace="http://schemas.microsoft.com/sharepoint/v3"/>
    <xsd:import namespace="56d5910f-b346-4e68-aabe-d296ee4e7db0"/>
    <xsd:import namespace="f3aabf46-efe1-4544-843d-6ff52fb05842"/>
    <xsd:import namespace="51bfcd92-eb3e-40f4-8778-2bbfb88a890b"/>
    <xsd:import namespace="cccaf3ac-2de9-44d4-aa31-54302fceb5f7"/>
    <xsd:element name="properties">
      <xsd:complexType>
        <xsd:sequence>
          <xsd:element name="documentManagement">
            <xsd:complexType>
              <xsd:all>
                <xsd:element ref="ns2:SharedWithUsers" minOccurs="0"/>
                <xsd:element ref="ns2:SharedWithDetails" minOccurs="0"/>
                <xsd:element ref="ns1:_ip_UnifiedCompliancePolicyProperties" minOccurs="0"/>
                <xsd:element ref="ns1:_ip_UnifiedCompliancePolicyUIAction" minOccurs="0"/>
                <xsd:element ref="ns3:MediaServiceAutoKeyPoints" minOccurs="0"/>
                <xsd:element ref="ns3:MediaServiceKeyPoints" minOccurs="0"/>
                <xsd:element ref="ns4:SharedWithUsers" minOccurs="0"/>
                <xsd:element ref="ns4:SharedWithDetails" minOccurs="0"/>
                <xsd:element ref="ns3:Review_x0020_Date"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d5910f-b346-4e68-aabe-d296ee4e7db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3aabf46-efe1-4544-843d-6ff52fb05842" elementFormDefault="qualified">
    <xsd:import namespace="http://schemas.microsoft.com/office/2006/documentManagement/types"/>
    <xsd:import namespace="http://schemas.microsoft.com/office/infopath/2007/PartnerControls"/>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Review_x0020_Date" ma:index="16" nillable="true" ma:displayName="Review date" ma:indexed="true" ma:internalName="Review_x0020_Dat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1bfcd92-eb3e-40f4-8778-2bbfb88a890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0"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0"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1dfd61aa-f1bb-422b-ba48-68343f7c84c9}" ma:internalName="TaxCatchAll" ma:showField="CatchAllData" ma:web="51bfcd92-eb3e-40f4-8778-2bbfb88a890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cccaf3ac-2de9-44d4-aa31-54302fceb5f7" xsi:nil="true"/>
    <Review_x0020_Date xmlns="f3aabf46-efe1-4544-843d-6ff52fb05842" xsi:nil="true"/>
    <lcf76f155ced4ddcb4097134ff3c332f xmlns="f3aabf46-efe1-4544-843d-6ff52fb05842">
      <Terms xmlns="http://schemas.microsoft.com/office/infopath/2007/PartnerControls"/>
    </lcf76f155ced4ddcb4097134ff3c332f>
    <SharedWithUsers xmlns="56d5910f-b346-4e68-aabe-d296ee4e7db0">
      <UserInfo>
        <DisplayName/>
        <AccountId xsi:nil="true"/>
        <AccountType/>
      </UserInfo>
    </SharedWithUsers>
  </documentManagement>
</p:properties>
</file>

<file path=customXml/itemProps1.xml><?xml version="1.0" encoding="utf-8"?>
<ds:datastoreItem xmlns:ds="http://schemas.openxmlformats.org/officeDocument/2006/customXml" ds:itemID="{ED3DE5F7-04D9-41EC-A674-2111A0C970D9}">
  <ds:schemaRefs>
    <ds:schemaRef ds:uri="http://schemas.microsoft.com/sharepoint/v3/contenttype/forms"/>
  </ds:schemaRefs>
</ds:datastoreItem>
</file>

<file path=customXml/itemProps2.xml><?xml version="1.0" encoding="utf-8"?>
<ds:datastoreItem xmlns:ds="http://schemas.openxmlformats.org/officeDocument/2006/customXml" ds:itemID="{2D7A0E3D-6FDD-418A-BAEA-42D0E03675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d5910f-b346-4e68-aabe-d296ee4e7db0"/>
    <ds:schemaRef ds:uri="f3aabf46-efe1-4544-843d-6ff52fb05842"/>
    <ds:schemaRef ds:uri="51bfcd92-eb3e-40f4-8778-2bbfb88a890b"/>
    <ds:schemaRef ds:uri="cccaf3ac-2de9-44d4-aa31-54302fceb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D735BD-3F50-4345-A076-11FA0AC05DC2}">
  <ds:schemaRefs>
    <ds:schemaRef ds:uri="http://schemas.microsoft.com/office/2006/metadata/properties"/>
    <ds:schemaRef ds:uri="http://schemas.microsoft.com/office/infopath/2007/PartnerControls"/>
    <ds:schemaRef ds:uri="http://schemas.microsoft.com/sharepoint/v3"/>
    <ds:schemaRef ds:uri="cccaf3ac-2de9-44d4-aa31-54302fceb5f7"/>
    <ds:schemaRef ds:uri="f3aabf46-efe1-4544-843d-6ff52fb05842"/>
    <ds:schemaRef ds:uri="56d5910f-b346-4e68-aabe-d296ee4e7db0"/>
  </ds:schemaRefs>
</ds:datastoreItem>
</file>

<file path=docProps/app.xml><?xml version="1.0" encoding="utf-8"?>
<Properties xmlns="http://schemas.openxmlformats.org/officeDocument/2006/extended-properties" xmlns:vt="http://schemas.openxmlformats.org/officeDocument/2006/docPropsVTypes">
  <Template>Normal</Template>
  <TotalTime>1076</TotalTime>
  <Pages>10</Pages>
  <Words>3821</Words>
  <Characters>21784</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Maneesh Acquilla</dc:creator>
  <cp:keywords/>
  <dc:description/>
  <cp:lastModifiedBy>Andrew Morton - Operational Director of Finance Greater Nottingham - NNICB</cp:lastModifiedBy>
  <cp:revision>2</cp:revision>
  <cp:lastPrinted>2024-04-19T07:47:00Z</cp:lastPrinted>
  <dcterms:created xsi:type="dcterms:W3CDTF">2025-05-02T10:30:00Z</dcterms:created>
  <dcterms:modified xsi:type="dcterms:W3CDTF">2025-05-02T10:30:00Z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0x010100ACAA2BD990F7D44D92278D198B0986A3</vt:lpwstr>
  </property>
  <property fmtid="{D5CDD505-2E9C-101B-9397-08002B2CF9AE}" pid="3" name="MediaServiceImageTags">
    <vt:lpwstr/>
  </property>
  <property fmtid="{D5CDD505-2E9C-101B-9397-08002B2CF9AE}" pid="4" name="Order">
    <vt:r8>513100</vt:r8>
  </property>
  <property fmtid="{D5CDD505-2E9C-101B-9397-08002B2CF9AE}" pid="5" name="TriggerFlowInfo">
    <vt:lpwstr/>
  </property>
  <property fmtid="{D5CDD505-2E9C-101B-9397-08002B2CF9AE}" pid="6" name="ComplianceAssetId">
    <vt:lpwstr/>
  </property>
  <property fmtid="{D5CDD505-2E9C-101B-9397-08002B2CF9AE}" pid="7" name="_ExtendedDescription">
    <vt:lpwstr/>
  </property>
</Properties>
</file>