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20921F56" w:rsidR="007E4B96" w:rsidRPr="00080D20" w:rsidRDefault="00FE46ED">
      <w:pPr>
        <w:rPr>
          <w:b/>
          <w:sz w:val="32"/>
          <w:szCs w:val="32"/>
        </w:rPr>
      </w:pPr>
      <w:r w:rsidRPr="00FE46ED">
        <w:rPr>
          <w:b/>
          <w:sz w:val="32"/>
          <w:szCs w:val="32"/>
        </w:rPr>
        <w:t>Population Health Management</w:t>
      </w:r>
      <w:r w:rsidR="00BB7636" w:rsidRPr="00FE46ED">
        <w:rPr>
          <w:b/>
          <w:sz w:val="44"/>
          <w:szCs w:val="44"/>
        </w:rPr>
        <w:t xml:space="preserve"> </w:t>
      </w:r>
      <w:r w:rsidR="00BB7636">
        <w:rPr>
          <w:b/>
          <w:sz w:val="32"/>
          <w:szCs w:val="32"/>
        </w:rPr>
        <w:t>Purposes</w:t>
      </w:r>
    </w:p>
    <w:tbl>
      <w:tblPr>
        <w:tblStyle w:val="TableGrid"/>
        <w:tblW w:w="0" w:type="auto"/>
        <w:tblLook w:val="04A0" w:firstRow="1" w:lastRow="0" w:firstColumn="1" w:lastColumn="0" w:noHBand="0" w:noVBand="1"/>
      </w:tblPr>
      <w:tblGrid>
        <w:gridCol w:w="2483"/>
        <w:gridCol w:w="6533"/>
      </w:tblGrid>
      <w:tr w:rsidR="007E4B96" w14:paraId="76DDEB7A" w14:textId="77777777" w:rsidTr="00AD3EED">
        <w:trPr>
          <w:trHeight w:val="2086"/>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4654C56E" w14:textId="77777777" w:rsidR="00DB0621" w:rsidRDefault="00DB0621" w:rsidP="00DB0621">
            <w:pPr>
              <w:pStyle w:val="NormalWeb"/>
              <w:shd w:val="clear" w:color="auto" w:fill="FFFFFF"/>
              <w:spacing w:before="0" w:beforeAutospacing="0" w:after="225" w:afterAutospacing="0"/>
              <w:textAlignment w:val="baseline"/>
              <w:rPr>
                <w:rFonts w:ascii="Arial" w:hAnsi="Arial" w:cs="Arial"/>
                <w:color w:val="202A30"/>
                <w:sz w:val="22"/>
                <w:szCs w:val="22"/>
              </w:rPr>
            </w:pPr>
            <w:r>
              <w:rPr>
                <w:rFonts w:ascii="Arial" w:hAnsi="Arial" w:cs="Arial"/>
                <w:color w:val="202A30"/>
                <w:sz w:val="22"/>
                <w:szCs w:val="22"/>
              </w:rPr>
              <w:t xml:space="preserve">Only around 20% of good health is about access to health care. The remaining 80% is about the wider determinants such as social, </w:t>
            </w:r>
            <w:proofErr w:type="gramStart"/>
            <w:r>
              <w:rPr>
                <w:rFonts w:ascii="Arial" w:hAnsi="Arial" w:cs="Arial"/>
                <w:color w:val="202A30"/>
                <w:sz w:val="22"/>
                <w:szCs w:val="22"/>
              </w:rPr>
              <w:t>economic</w:t>
            </w:r>
            <w:proofErr w:type="gramEnd"/>
            <w:r>
              <w:rPr>
                <w:rFonts w:ascii="Arial" w:hAnsi="Arial" w:cs="Arial"/>
                <w:color w:val="202A30"/>
                <w:sz w:val="22"/>
                <w:szCs w:val="22"/>
              </w:rPr>
              <w:t xml:space="preserve"> and environmental factors that can have an impact on people’s health. </w:t>
            </w:r>
          </w:p>
          <w:p w14:paraId="0C5636CD" w14:textId="26A8E56A" w:rsidR="00DB0621" w:rsidRDefault="00DB0621" w:rsidP="00DB0621">
            <w:pPr>
              <w:pStyle w:val="NormalWeb"/>
              <w:shd w:val="clear" w:color="auto" w:fill="FFFFFF"/>
              <w:spacing w:before="0" w:beforeAutospacing="0" w:after="225" w:afterAutospacing="0"/>
              <w:textAlignment w:val="baseline"/>
              <w:rPr>
                <w:rFonts w:ascii="Arial" w:hAnsi="Arial" w:cs="Arial"/>
                <w:color w:val="202A30"/>
                <w:sz w:val="22"/>
                <w:szCs w:val="22"/>
              </w:rPr>
            </w:pPr>
            <w:r>
              <w:rPr>
                <w:rFonts w:ascii="Arial" w:hAnsi="Arial" w:cs="Arial"/>
                <w:color w:val="202A30"/>
                <w:sz w:val="22"/>
                <w:szCs w:val="22"/>
              </w:rPr>
              <w:t>By identifying the wider determinants</w:t>
            </w:r>
            <w:r w:rsidR="00406E16">
              <w:rPr>
                <w:rFonts w:ascii="Arial" w:hAnsi="Arial" w:cs="Arial"/>
                <w:color w:val="202A30"/>
                <w:sz w:val="22"/>
                <w:szCs w:val="22"/>
              </w:rPr>
              <w:t xml:space="preserve">, </w:t>
            </w:r>
            <w:r>
              <w:rPr>
                <w:rFonts w:ascii="Arial" w:hAnsi="Arial" w:cs="Arial"/>
                <w:color w:val="202A30"/>
                <w:sz w:val="22"/>
                <w:szCs w:val="22"/>
              </w:rPr>
              <w:t xml:space="preserve">we can support our local populations health and care needs and support commissioning activity, design services that are tailored around our population and provide evidence-based interventions that give the best possible outcomes for our local citizens. </w:t>
            </w:r>
          </w:p>
          <w:p w14:paraId="573066A0" w14:textId="6FF73A31" w:rsidR="00080D20" w:rsidRPr="00DB0621" w:rsidRDefault="00C65160" w:rsidP="00DB0621">
            <w:pPr>
              <w:pStyle w:val="NormalWeb"/>
              <w:shd w:val="clear" w:color="auto" w:fill="FFFFFF"/>
              <w:spacing w:before="0" w:beforeAutospacing="0" w:after="225" w:afterAutospacing="0"/>
              <w:textAlignment w:val="baseline"/>
              <w:rPr>
                <w:rFonts w:ascii="Arial" w:hAnsi="Arial" w:cs="Arial"/>
                <w:bCs/>
                <w:sz w:val="22"/>
                <w:szCs w:val="22"/>
              </w:rPr>
            </w:pPr>
            <w:hyperlink r:id="rId8" w:history="1">
              <w:r w:rsidR="00DB0621" w:rsidRPr="0014645E">
                <w:rPr>
                  <w:rStyle w:val="Hyperlink"/>
                  <w:rFonts w:ascii="Arial" w:hAnsi="Arial" w:cs="Arial"/>
                  <w:sz w:val="22"/>
                  <w:szCs w:val="22"/>
                </w:rPr>
                <w:t>Population Health Management</w:t>
              </w:r>
            </w:hyperlink>
            <w:r w:rsidR="00DB0621" w:rsidRPr="00DB0621">
              <w:rPr>
                <w:rFonts w:ascii="Arial" w:hAnsi="Arial" w:cs="Arial"/>
                <w:color w:val="202A30"/>
                <w:sz w:val="22"/>
                <w:szCs w:val="22"/>
              </w:rPr>
              <w:t xml:space="preserve"> uses data, both healthcare data from clinical systems and non-healthcare data from sources including local authority and social services. The data from the non-healthcare </w:t>
            </w:r>
            <w:r w:rsidR="00DB0621">
              <w:rPr>
                <w:rFonts w:ascii="Arial" w:hAnsi="Arial" w:cs="Arial"/>
                <w:color w:val="202A30"/>
                <w:sz w:val="22"/>
                <w:szCs w:val="22"/>
              </w:rPr>
              <w:t xml:space="preserve">providers can include </w:t>
            </w:r>
            <w:r w:rsidR="00DB0621" w:rsidRPr="00DB0621">
              <w:rPr>
                <w:rFonts w:ascii="Arial" w:hAnsi="Arial" w:cs="Arial"/>
                <w:color w:val="202A30"/>
                <w:sz w:val="22"/>
                <w:szCs w:val="22"/>
              </w:rPr>
              <w:t xml:space="preserve">information </w:t>
            </w:r>
            <w:r w:rsidR="00DB0621">
              <w:rPr>
                <w:rFonts w:ascii="Arial" w:hAnsi="Arial" w:cs="Arial"/>
                <w:color w:val="202A30"/>
                <w:sz w:val="22"/>
                <w:szCs w:val="22"/>
              </w:rPr>
              <w:t>such as</w:t>
            </w:r>
            <w:r w:rsidR="00DB0621" w:rsidRPr="00DB0621">
              <w:rPr>
                <w:rFonts w:ascii="Arial" w:hAnsi="Arial" w:cs="Arial"/>
                <w:color w:val="202A30"/>
                <w:sz w:val="22"/>
                <w:szCs w:val="22"/>
              </w:rPr>
              <w:t xml:space="preserve"> lifestyle, housing, and deprivation data.</w:t>
            </w: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3F8FFD51" w14:textId="726E8185" w:rsidR="00F033A2" w:rsidRDefault="00277D88" w:rsidP="003E3340">
            <w:pPr>
              <w:spacing w:before="100" w:beforeAutospacing="1" w:after="100" w:afterAutospacing="1"/>
              <w:outlineLvl w:val="2"/>
              <w:rPr>
                <w:rFonts w:ascii="Arial" w:hAnsi="Arial" w:cs="Arial"/>
              </w:rPr>
            </w:pPr>
            <w:r w:rsidRPr="00277D88">
              <w:rPr>
                <w:rFonts w:ascii="Arial" w:hAnsi="Arial" w:cs="Arial"/>
              </w:rPr>
              <w:t xml:space="preserve">Only de-identified information (NHS number removed) is accessible to the </w:t>
            </w:r>
            <w:r>
              <w:rPr>
                <w:rFonts w:ascii="Arial" w:hAnsi="Arial" w:cs="Arial"/>
              </w:rPr>
              <w:t>ICB</w:t>
            </w:r>
            <w:r w:rsidRPr="00277D88">
              <w:rPr>
                <w:rFonts w:ascii="Arial" w:hAnsi="Arial" w:cs="Arial"/>
              </w:rPr>
              <w:t>. This privacy notice covers how the</w:t>
            </w:r>
            <w:r w:rsidR="00F033A2">
              <w:rPr>
                <w:rFonts w:ascii="Arial" w:hAnsi="Arial" w:cs="Arial"/>
              </w:rPr>
              <w:t xml:space="preserve"> ICB</w:t>
            </w:r>
            <w:r w:rsidRPr="00277D88">
              <w:rPr>
                <w:rFonts w:ascii="Arial" w:hAnsi="Arial" w:cs="Arial"/>
              </w:rPr>
              <w:t xml:space="preserve"> use</w:t>
            </w:r>
            <w:r w:rsidR="00F033A2">
              <w:rPr>
                <w:rFonts w:ascii="Arial" w:hAnsi="Arial" w:cs="Arial"/>
              </w:rPr>
              <w:t>s</w:t>
            </w:r>
            <w:r w:rsidRPr="00277D88">
              <w:rPr>
                <w:rFonts w:ascii="Arial" w:hAnsi="Arial" w:cs="Arial"/>
              </w:rPr>
              <w:t xml:space="preserve"> the de-identified information. </w:t>
            </w:r>
          </w:p>
          <w:p w14:paraId="3EEBAD92" w14:textId="4CC2E972" w:rsidR="00277D88" w:rsidRDefault="00277D88" w:rsidP="00CC153B">
            <w:pPr>
              <w:spacing w:before="100" w:beforeAutospacing="1"/>
              <w:outlineLvl w:val="2"/>
              <w:rPr>
                <w:rFonts w:ascii="Arial" w:hAnsi="Arial" w:cs="Arial"/>
              </w:rPr>
            </w:pPr>
            <w:r w:rsidRPr="00277D88">
              <w:rPr>
                <w:rFonts w:ascii="Arial" w:hAnsi="Arial" w:cs="Arial"/>
              </w:rPr>
              <w:t>Only GP Practices</w:t>
            </w:r>
            <w:r w:rsidR="00BC3611">
              <w:rPr>
                <w:rFonts w:ascii="Arial" w:hAnsi="Arial" w:cs="Arial"/>
              </w:rPr>
              <w:t xml:space="preserve"> and clinicians</w:t>
            </w:r>
            <w:r w:rsidRPr="00277D88">
              <w:rPr>
                <w:rFonts w:ascii="Arial" w:hAnsi="Arial" w:cs="Arial"/>
              </w:rPr>
              <w:t xml:space="preserve"> within</w:t>
            </w:r>
            <w:r w:rsidR="00F033A2">
              <w:rPr>
                <w:rFonts w:ascii="Arial" w:hAnsi="Arial" w:cs="Arial"/>
              </w:rPr>
              <w:t xml:space="preserve"> the ICB area</w:t>
            </w:r>
            <w:r w:rsidRPr="00277D88">
              <w:rPr>
                <w:rFonts w:ascii="Arial" w:hAnsi="Arial" w:cs="Arial"/>
              </w:rPr>
              <w:t xml:space="preserve"> have access to identifiable information (NHS Number) of their own patients </w:t>
            </w:r>
            <w:proofErr w:type="gramStart"/>
            <w:r w:rsidRPr="00277D88">
              <w:rPr>
                <w:rFonts w:ascii="Arial" w:hAnsi="Arial" w:cs="Arial"/>
              </w:rPr>
              <w:t>in order to</w:t>
            </w:r>
            <w:proofErr w:type="gramEnd"/>
            <w:r w:rsidRPr="00277D88">
              <w:rPr>
                <w:rFonts w:ascii="Arial" w:hAnsi="Arial" w:cs="Arial"/>
              </w:rPr>
              <w:t xml:space="preserve"> see who may benefit from additional help. For more information on how individual practices use identifiable data for this purpose, please refer to individual practice privacy notices, these are not managed by the</w:t>
            </w:r>
            <w:r w:rsidR="00F033A2">
              <w:rPr>
                <w:rFonts w:ascii="Arial" w:hAnsi="Arial" w:cs="Arial"/>
              </w:rPr>
              <w:t xml:space="preserve"> ICB.</w:t>
            </w:r>
          </w:p>
          <w:p w14:paraId="5E58D439" w14:textId="3B1C1202" w:rsidR="00F033A2" w:rsidRPr="00080D20" w:rsidRDefault="00F033A2" w:rsidP="003E3340">
            <w:pPr>
              <w:spacing w:before="100" w:beforeAutospacing="1" w:after="100" w:afterAutospacing="1"/>
              <w:outlineLvl w:val="2"/>
              <w:rPr>
                <w:rFonts w:ascii="Arial" w:hAnsi="Arial" w:cs="Arial"/>
                <w:sz w:val="16"/>
                <w:szCs w:val="16"/>
              </w:rPr>
            </w:pPr>
          </w:p>
        </w:tc>
      </w:tr>
      <w:tr w:rsidR="006F77D2" w14:paraId="235E5E78" w14:textId="77777777" w:rsidTr="003E3340">
        <w:trPr>
          <w:trHeight w:val="50"/>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086C2B25" w14:textId="4FAA6948" w:rsidR="00080D20" w:rsidRPr="00080D20" w:rsidRDefault="00C72E0D" w:rsidP="00080D20">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PHM</w:t>
            </w:r>
            <w:r w:rsidR="00080D20" w:rsidRPr="00080D20">
              <w:rPr>
                <w:rFonts w:ascii="Arial" w:eastAsia="Times New Roman" w:hAnsi="Arial" w:cs="Arial"/>
                <w:lang w:val="en" w:eastAsia="en-GB"/>
              </w:rPr>
              <w:t xml:space="preserve"> tools use a mix of historic information about patients such as age, gender, diagnoses and patterns of hospital attendance and admission as well as data collected in GP practices.</w:t>
            </w:r>
          </w:p>
          <w:p w14:paraId="11B33754" w14:textId="52C06F14" w:rsidR="009613B8" w:rsidRPr="003E3340" w:rsidRDefault="00080D20" w:rsidP="00CC153B">
            <w:pPr>
              <w:spacing w:before="100" w:beforeAutospacing="1"/>
              <w:rPr>
                <w:rFonts w:ascii="Arial" w:eastAsia="Times New Roman" w:hAnsi="Arial" w:cs="Arial"/>
                <w:bCs/>
                <w:lang w:eastAsia="en-GB"/>
              </w:rPr>
            </w:pPr>
            <w:r w:rsidRPr="00080D20">
              <w:rPr>
                <w:rFonts w:ascii="Arial" w:eastAsia="Times New Roman" w:hAnsi="Arial" w:cs="Arial"/>
                <w:lang w:val="en" w:eastAsia="en-GB"/>
              </w:rPr>
              <w:t>NHS Digital provides information, identifiable by your NHS Number only, about hospital attendances.  GP Practices provide information from GP records also identifiable by your NHS Number only</w:t>
            </w:r>
            <w:r w:rsidR="00C60831">
              <w:rPr>
                <w:rFonts w:ascii="Arial" w:eastAsia="Times New Roman" w:hAnsi="Arial" w:cs="Arial"/>
                <w:lang w:val="en" w:eastAsia="en-GB"/>
              </w:rPr>
              <w:t xml:space="preserve"> along with Social and Community Services. All </w:t>
            </w:r>
            <w:r w:rsidRPr="00080D20">
              <w:rPr>
                <w:rFonts w:ascii="Arial" w:eastAsia="Times New Roman" w:hAnsi="Arial" w:cs="Arial"/>
                <w:lang w:val="en" w:eastAsia="en-GB"/>
              </w:rPr>
              <w:t xml:space="preserve">information </w:t>
            </w:r>
            <w:r w:rsidR="00C60831">
              <w:rPr>
                <w:rFonts w:ascii="Arial" w:eastAsia="Times New Roman" w:hAnsi="Arial" w:cs="Arial"/>
                <w:lang w:val="en" w:eastAsia="en-GB"/>
              </w:rPr>
              <w:t xml:space="preserve">is </w:t>
            </w:r>
            <w:r w:rsidRPr="00080D20">
              <w:rPr>
                <w:rFonts w:ascii="Arial" w:eastAsia="Times New Roman" w:hAnsi="Arial" w:cs="Arial"/>
                <w:lang w:val="en" w:eastAsia="en-GB"/>
              </w:rPr>
              <w:t xml:space="preserve">sent via secure transfer to the </w:t>
            </w:r>
            <w:r w:rsidR="00C60831">
              <w:rPr>
                <w:rFonts w:ascii="Arial" w:eastAsia="Times New Roman" w:hAnsi="Arial" w:cs="Arial"/>
                <w:lang w:val="en" w:eastAsia="en-GB"/>
              </w:rPr>
              <w:t>Population Health Management</w:t>
            </w:r>
            <w:r w:rsidRPr="00080D20">
              <w:rPr>
                <w:rFonts w:ascii="Arial" w:eastAsia="Times New Roman" w:hAnsi="Arial" w:cs="Arial"/>
                <w:lang w:val="en" w:eastAsia="en-GB"/>
              </w:rPr>
              <w:t xml:space="preserve"> system where they are immediately </w:t>
            </w:r>
            <w:proofErr w:type="spellStart"/>
            <w:r w:rsidRPr="00080D20">
              <w:rPr>
                <w:rFonts w:ascii="Arial" w:eastAsia="Times New Roman" w:hAnsi="Arial" w:cs="Arial"/>
                <w:lang w:val="en" w:eastAsia="en-GB"/>
              </w:rPr>
              <w:t>pseudonymised</w:t>
            </w:r>
            <w:proofErr w:type="spellEnd"/>
            <w:r w:rsidRPr="00080D20">
              <w:rPr>
                <w:rFonts w:ascii="Arial" w:eastAsia="Times New Roman" w:hAnsi="Arial" w:cs="Arial"/>
                <w:lang w:val="en" w:eastAsia="en-GB"/>
              </w:rPr>
              <w:t xml:space="preserve"> and linked to each other.  </w:t>
            </w:r>
            <w:r w:rsidR="00C60831">
              <w:rPr>
                <w:rFonts w:ascii="Arial" w:eastAsia="Times New Roman" w:hAnsi="Arial" w:cs="Arial"/>
                <w:lang w:val="en" w:eastAsia="en-GB"/>
              </w:rPr>
              <w:t>Only d</w:t>
            </w:r>
            <w:r w:rsidRPr="00080D20">
              <w:rPr>
                <w:rFonts w:ascii="Arial" w:eastAsia="Times New Roman" w:hAnsi="Arial" w:cs="Arial"/>
                <w:lang w:val="en" w:eastAsia="en-GB"/>
              </w:rPr>
              <w:t>e-identified information</w:t>
            </w:r>
            <w:r w:rsidR="00E26ED3">
              <w:rPr>
                <w:rFonts w:ascii="Arial" w:eastAsia="Times New Roman" w:hAnsi="Arial" w:cs="Arial"/>
                <w:lang w:val="en" w:eastAsia="en-GB"/>
              </w:rPr>
              <w:t xml:space="preserve"> </w:t>
            </w:r>
            <w:r w:rsidRPr="00080D20">
              <w:rPr>
                <w:rFonts w:ascii="Arial" w:eastAsia="Times New Roman" w:hAnsi="Arial" w:cs="Arial"/>
                <w:lang w:val="en" w:eastAsia="en-GB"/>
              </w:rPr>
              <w:t xml:space="preserve">is made available to the </w:t>
            </w:r>
            <w:r>
              <w:rPr>
                <w:rFonts w:ascii="Arial" w:eastAsia="Times New Roman" w:hAnsi="Arial" w:cs="Arial"/>
                <w:lang w:val="en" w:eastAsia="en-GB"/>
              </w:rPr>
              <w:t>ICB</w:t>
            </w:r>
            <w:r w:rsidR="00C60831">
              <w:rPr>
                <w:rFonts w:ascii="Arial" w:eastAsia="Times New Roman" w:hAnsi="Arial" w:cs="Arial"/>
                <w:lang w:val="en" w:eastAsia="en-GB"/>
              </w:rPr>
              <w:t xml:space="preserve"> for the purposes of providing evidence-based care interventions. </w:t>
            </w:r>
          </w:p>
        </w:tc>
      </w:tr>
      <w:tr w:rsidR="00DB4F29" w14:paraId="4F07A23C" w14:textId="77777777" w:rsidTr="00E26ED3">
        <w:trPr>
          <w:trHeight w:val="416"/>
        </w:trPr>
        <w:tc>
          <w:tcPr>
            <w:tcW w:w="2518" w:type="dxa"/>
          </w:tcPr>
          <w:p w14:paraId="539F8993" w14:textId="295E3BB6" w:rsidR="00DB4F29" w:rsidRPr="00DA3EDA" w:rsidRDefault="00DB4F29" w:rsidP="005629F6">
            <w:pPr>
              <w:rPr>
                <w:rFonts w:ascii="Arial" w:hAnsi="Arial" w:cs="Arial"/>
                <w:b/>
              </w:rPr>
            </w:pPr>
            <w:r w:rsidRPr="00DA3EDA">
              <w:rPr>
                <w:rFonts w:ascii="Arial" w:hAnsi="Arial" w:cs="Arial"/>
                <w:b/>
              </w:rPr>
              <w:t>Who we will share the information with</w:t>
            </w:r>
          </w:p>
        </w:tc>
        <w:tc>
          <w:tcPr>
            <w:tcW w:w="6724" w:type="dxa"/>
          </w:tcPr>
          <w:p w14:paraId="1174F7D3" w14:textId="77777777" w:rsidR="00DB4F29" w:rsidRDefault="00C60831" w:rsidP="005629F6">
            <w:pPr>
              <w:rPr>
                <w:rFonts w:ascii="Arial" w:hAnsi="Arial" w:cs="Arial"/>
              </w:rPr>
            </w:pPr>
            <w:r>
              <w:rPr>
                <w:rFonts w:ascii="Arial" w:hAnsi="Arial" w:cs="Arial"/>
              </w:rPr>
              <w:t xml:space="preserve">Only pseudonymised and aggregated information is shared outside of the </w:t>
            </w:r>
            <w:proofErr w:type="gramStart"/>
            <w:r>
              <w:rPr>
                <w:rFonts w:ascii="Arial" w:hAnsi="Arial" w:cs="Arial"/>
              </w:rPr>
              <w:t>ICB</w:t>
            </w:r>
            <w:proofErr w:type="gramEnd"/>
          </w:p>
          <w:p w14:paraId="2A6DBD65" w14:textId="121BC49D" w:rsidR="00C60831" w:rsidRPr="004218BF" w:rsidRDefault="00C60831" w:rsidP="005629F6">
            <w:pPr>
              <w:rPr>
                <w:rFonts w:ascii="Arial" w:hAnsi="Arial" w:cs="Arial"/>
              </w:rPr>
            </w:pPr>
          </w:p>
        </w:tc>
      </w:tr>
      <w:tr w:rsidR="00DB4F29" w14:paraId="5573FBEF" w14:textId="77777777" w:rsidTr="00CC153B">
        <w:trPr>
          <w:trHeight w:val="4750"/>
        </w:trPr>
        <w:tc>
          <w:tcPr>
            <w:tcW w:w="2518" w:type="dxa"/>
          </w:tcPr>
          <w:p w14:paraId="72E7A9C4" w14:textId="369E07A7" w:rsidR="00DB4F29" w:rsidRPr="00DA3EDA" w:rsidRDefault="00DB4F29">
            <w:pPr>
              <w:rPr>
                <w:rFonts w:ascii="Arial" w:hAnsi="Arial" w:cs="Arial"/>
                <w:b/>
              </w:rPr>
            </w:pPr>
            <w:r>
              <w:rPr>
                <w:rFonts w:ascii="Arial" w:hAnsi="Arial" w:cs="Arial"/>
                <w:b/>
              </w:rPr>
              <w:lastRenderedPageBreak/>
              <w:t>Legal Basis for Processing Personal Data</w:t>
            </w:r>
          </w:p>
        </w:tc>
        <w:tc>
          <w:tcPr>
            <w:tcW w:w="6724" w:type="dxa"/>
          </w:tcPr>
          <w:p w14:paraId="3C68B977" w14:textId="2D0E091E"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6(1)(e)</w:t>
            </w:r>
            <w:r w:rsidR="00CC153B">
              <w:rPr>
                <w:rFonts w:ascii="Arial" w:eastAsia="Times New Roman" w:hAnsi="Arial" w:cs="Arial"/>
                <w:lang w:val="en-US" w:eastAsia="en-GB"/>
              </w:rPr>
              <w:t xml:space="preserve"> </w:t>
            </w:r>
            <w:r w:rsidRPr="00CF6EAE">
              <w:rPr>
                <w:rFonts w:ascii="Arial" w:eastAsia="Times New Roman" w:hAnsi="Arial" w:cs="Arial"/>
                <w:lang w:val="en-US" w:eastAsia="en-GB"/>
              </w:rPr>
              <w:t xml:space="preserve">processing is necessary for the performance of a task carried out in the public interest or in the exercise of official authority vested in the </w:t>
            </w:r>
            <w:r w:rsidR="00CC153B" w:rsidRPr="00CF6EAE">
              <w:rPr>
                <w:rFonts w:ascii="Arial" w:eastAsia="Times New Roman" w:hAnsi="Arial" w:cs="Arial"/>
                <w:lang w:val="en-US" w:eastAsia="en-GB"/>
              </w:rPr>
              <w:t>controller.</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4590EAF3" w:rsidR="00C60831" w:rsidRPr="00C86DE9" w:rsidRDefault="00C86DE9" w:rsidP="00CC153B">
            <w:pPr>
              <w:spacing w:before="100" w:before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04F90D93" w14:textId="77777777" w:rsidR="00C60831" w:rsidRDefault="00F033A2" w:rsidP="00CC153B">
            <w:pPr>
              <w:rPr>
                <w:rFonts w:ascii="Arial" w:eastAsia="Times New Roman" w:hAnsi="Arial" w:cs="Arial"/>
                <w:lang w:eastAsia="en-GB"/>
              </w:rPr>
            </w:pPr>
            <w:r>
              <w:rPr>
                <w:rFonts w:ascii="Arial" w:eastAsia="Times New Roman" w:hAnsi="Arial" w:cs="Arial"/>
                <w:lang w:eastAsia="en-GB"/>
              </w:rPr>
              <w:t xml:space="preserve">A </w:t>
            </w:r>
            <w:r w:rsidRPr="00F033A2">
              <w:rPr>
                <w:rFonts w:ascii="Arial" w:eastAsia="Times New Roman" w:hAnsi="Arial" w:cs="Arial"/>
                <w:lang w:eastAsia="en-GB"/>
              </w:rPr>
              <w:t xml:space="preserve">section 251 approval </w:t>
            </w:r>
            <w:hyperlink r:id="rId10" w:history="1">
              <w:r w:rsidR="00C60831">
                <w:rPr>
                  <w:rStyle w:val="Hyperlink"/>
                  <w:rFonts w:ascii="Arial" w:eastAsia="Times New Roman" w:hAnsi="Arial" w:cs="Arial"/>
                  <w:lang w:eastAsia="en-GB"/>
                </w:rPr>
                <w:t>(Reference Number:22/CAG/0101)</w:t>
              </w:r>
            </w:hyperlink>
            <w:r w:rsidRPr="00F033A2">
              <w:rPr>
                <w:rFonts w:ascii="Arial" w:eastAsia="Times New Roman" w:hAnsi="Arial" w:cs="Arial"/>
                <w:lang w:eastAsia="en-GB"/>
              </w:rPr>
              <w:t xml:space="preserve"> from the Secretary of State, through the Confidentiality Advisory Group of the Health Research Authority, enables the pseudonymised information to be sent to the </w:t>
            </w:r>
            <w:r>
              <w:rPr>
                <w:rFonts w:ascii="Arial" w:eastAsia="Times New Roman" w:hAnsi="Arial" w:cs="Arial"/>
                <w:lang w:eastAsia="en-GB"/>
              </w:rPr>
              <w:t>ICB</w:t>
            </w:r>
            <w:r w:rsidRPr="00F033A2">
              <w:rPr>
                <w:rFonts w:ascii="Arial" w:eastAsia="Times New Roman" w:hAnsi="Arial" w:cs="Arial"/>
                <w:lang w:eastAsia="en-GB"/>
              </w:rPr>
              <w:t xml:space="preserve"> via NHS Digital in order to help us plan the most appropriate health services for our population</w:t>
            </w:r>
            <w:r>
              <w:rPr>
                <w:rFonts w:ascii="Arial" w:eastAsia="Times New Roman" w:hAnsi="Arial" w:cs="Arial"/>
                <w:lang w:eastAsia="en-GB"/>
              </w:rPr>
              <w:t>.</w:t>
            </w:r>
          </w:p>
          <w:p w14:paraId="323B62C2" w14:textId="0F15645A" w:rsidR="00CC153B" w:rsidRPr="00F033A2" w:rsidRDefault="00CC153B" w:rsidP="00CC153B">
            <w:pPr>
              <w:rPr>
                <w:rFonts w:ascii="Arial" w:eastAsia="Times New Roman" w:hAnsi="Arial" w:cs="Arial"/>
                <w:lang w:eastAsia="en-GB"/>
              </w:rPr>
            </w:pPr>
          </w:p>
        </w:tc>
      </w:tr>
      <w:tr w:rsidR="00DB4F29" w14:paraId="2612E712" w14:textId="77777777" w:rsidTr="00E26ED3">
        <w:trPr>
          <w:trHeight w:val="786"/>
        </w:trPr>
        <w:tc>
          <w:tcPr>
            <w:tcW w:w="2518" w:type="dxa"/>
          </w:tcPr>
          <w:p w14:paraId="17E2A846" w14:textId="77777777" w:rsidR="00DB4F29" w:rsidRPr="00FE46ED" w:rsidRDefault="00DB4F29">
            <w:pPr>
              <w:rPr>
                <w:rFonts w:ascii="Arial" w:hAnsi="Arial" w:cs="Arial"/>
                <w:b/>
              </w:rPr>
            </w:pPr>
            <w:r w:rsidRPr="00FE46ED">
              <w:rPr>
                <w:rFonts w:ascii="Arial" w:hAnsi="Arial" w:cs="Arial"/>
                <w:b/>
              </w:rPr>
              <w:t>Data Processors</w:t>
            </w:r>
          </w:p>
          <w:p w14:paraId="6D5E43D8" w14:textId="77777777" w:rsidR="00DB4F29" w:rsidRPr="00FE46ED" w:rsidRDefault="00DB4F29">
            <w:pPr>
              <w:rPr>
                <w:rFonts w:ascii="Arial" w:hAnsi="Arial" w:cs="Arial"/>
                <w:b/>
                <w:color w:val="FF0000"/>
              </w:rPr>
            </w:pPr>
          </w:p>
        </w:tc>
        <w:tc>
          <w:tcPr>
            <w:tcW w:w="6724" w:type="dxa"/>
          </w:tcPr>
          <w:p w14:paraId="09B321B5" w14:textId="77777777" w:rsidR="00C87092" w:rsidRDefault="00BC3611" w:rsidP="00C87092">
            <w:pPr>
              <w:pStyle w:val="ListParagraph"/>
              <w:numPr>
                <w:ilvl w:val="0"/>
                <w:numId w:val="8"/>
              </w:numPr>
              <w:spacing w:before="100" w:beforeAutospacing="1" w:after="100" w:afterAutospacing="1"/>
              <w:ind w:left="184" w:hanging="184"/>
              <w:outlineLvl w:val="2"/>
              <w:rPr>
                <w:rFonts w:ascii="Arial" w:eastAsia="Times New Roman" w:hAnsi="Arial" w:cs="Arial"/>
                <w:bCs/>
                <w:lang w:eastAsia="en-GB"/>
              </w:rPr>
            </w:pPr>
            <w:r>
              <w:rPr>
                <w:rFonts w:ascii="Arial" w:eastAsia="Times New Roman" w:hAnsi="Arial" w:cs="Arial"/>
                <w:bCs/>
                <w:lang w:eastAsia="en-GB"/>
              </w:rPr>
              <w:t>NHIS</w:t>
            </w:r>
          </w:p>
          <w:p w14:paraId="6485CAF0" w14:textId="77777777" w:rsidR="00BC3611" w:rsidRDefault="00BC3611" w:rsidP="00C87092">
            <w:pPr>
              <w:pStyle w:val="ListParagraph"/>
              <w:numPr>
                <w:ilvl w:val="0"/>
                <w:numId w:val="8"/>
              </w:numPr>
              <w:spacing w:before="100" w:beforeAutospacing="1" w:after="100" w:afterAutospacing="1"/>
              <w:ind w:left="184" w:hanging="184"/>
              <w:outlineLvl w:val="2"/>
              <w:rPr>
                <w:rFonts w:ascii="Arial" w:eastAsia="Times New Roman" w:hAnsi="Arial" w:cs="Arial"/>
                <w:bCs/>
                <w:lang w:eastAsia="en-GB"/>
              </w:rPr>
            </w:pPr>
            <w:r>
              <w:rPr>
                <w:rFonts w:ascii="Arial" w:eastAsia="Times New Roman" w:hAnsi="Arial" w:cs="Arial"/>
                <w:bCs/>
                <w:lang w:eastAsia="en-GB"/>
              </w:rPr>
              <w:t>Data Management Team (SAIU)</w:t>
            </w:r>
          </w:p>
          <w:p w14:paraId="29612724" w14:textId="77777777" w:rsidR="009154CE" w:rsidRDefault="009154CE" w:rsidP="009154CE">
            <w:pPr>
              <w:pStyle w:val="ListParagraph"/>
              <w:spacing w:before="100" w:beforeAutospacing="1" w:after="100" w:afterAutospacing="1"/>
              <w:ind w:left="184"/>
              <w:outlineLvl w:val="2"/>
              <w:rPr>
                <w:rFonts w:ascii="Arial" w:eastAsia="Times New Roman" w:hAnsi="Arial" w:cs="Arial"/>
                <w:bCs/>
                <w:lang w:eastAsia="en-GB"/>
              </w:rPr>
            </w:pPr>
          </w:p>
          <w:p w14:paraId="545D9B12" w14:textId="4FDB01AA" w:rsidR="009154CE" w:rsidRPr="00C87092" w:rsidRDefault="009154CE" w:rsidP="009154CE">
            <w:pPr>
              <w:pStyle w:val="ListParagraph"/>
              <w:spacing w:before="100" w:beforeAutospacing="1" w:after="100" w:afterAutospacing="1"/>
              <w:ind w:left="184"/>
              <w:outlineLvl w:val="2"/>
              <w:rPr>
                <w:rFonts w:ascii="Arial" w:eastAsia="Times New Roman" w:hAnsi="Arial" w:cs="Arial"/>
                <w:bCs/>
                <w:lang w:eastAsia="en-GB"/>
              </w:rPr>
            </w:pPr>
            <w:r>
              <w:rPr>
                <w:rFonts w:ascii="Arial" w:eastAsia="Times New Roman" w:hAnsi="Arial" w:cs="Arial"/>
                <w:bCs/>
                <w:lang w:eastAsia="en-GB"/>
              </w:rPr>
              <w:t>As data processors on behalf of provider organisations.</w:t>
            </w: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68489B38" w14:textId="20673EE2" w:rsidR="00A5269B" w:rsidRPr="00FE46ED" w:rsidRDefault="00A5269B" w:rsidP="00FE46ED">
            <w:pPr>
              <w:pStyle w:val="ListParagraph"/>
              <w:numPr>
                <w:ilvl w:val="0"/>
                <w:numId w:val="8"/>
              </w:numPr>
              <w:spacing w:line="312" w:lineRule="auto"/>
              <w:ind w:left="184" w:hanging="142"/>
              <w:rPr>
                <w:rFonts w:ascii="Arial" w:eastAsia="Times New Roman" w:hAnsi="Arial" w:cs="Arial"/>
                <w:color w:val="231F20"/>
                <w:lang w:eastAsia="en-GB"/>
              </w:rPr>
            </w:pPr>
            <w:r w:rsidRPr="00FE46ED">
              <w:rPr>
                <w:rFonts w:ascii="Arial" w:eastAsia="Times New Roman" w:hAnsi="Arial" w:cs="Arial"/>
                <w:color w:val="231F20"/>
                <w:lang w:eastAsia="en-GB"/>
              </w:rPr>
              <w:t>To be informed about the processing of your information (this notice)</w:t>
            </w:r>
          </w:p>
          <w:p w14:paraId="44779906" w14:textId="77777777"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Of access to information held about you</w:t>
            </w:r>
          </w:p>
          <w:p w14:paraId="2B747481" w14:textId="20C8EA48"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Have the information corrected</w:t>
            </w:r>
            <w:r>
              <w:rPr>
                <w:rFonts w:ascii="Arial" w:eastAsia="Times New Roman" w:hAnsi="Arial" w:cs="Arial"/>
                <w:color w:val="231F20"/>
                <w:lang w:eastAsia="en-GB"/>
              </w:rPr>
              <w:t>,</w:t>
            </w:r>
            <w:r w:rsidRPr="004232BF">
              <w:rPr>
                <w:rFonts w:ascii="Arial" w:eastAsia="Times New Roman" w:hAnsi="Arial" w:cs="Arial"/>
                <w:color w:val="231F20"/>
                <w:lang w:eastAsia="en-GB"/>
              </w:rPr>
              <w:t xml:space="preserve"> </w:t>
            </w:r>
            <w:proofErr w:type="gramStart"/>
            <w:r w:rsidRPr="004232BF">
              <w:rPr>
                <w:rFonts w:ascii="Arial" w:eastAsia="Times New Roman" w:hAnsi="Arial" w:cs="Arial"/>
                <w:color w:val="231F20"/>
                <w:lang w:eastAsia="en-GB"/>
              </w:rPr>
              <w:t>in the event that</w:t>
            </w:r>
            <w:proofErr w:type="gramEnd"/>
            <w:r w:rsidRPr="004232BF">
              <w:rPr>
                <w:rFonts w:ascii="Arial" w:eastAsia="Times New Roman" w:hAnsi="Arial" w:cs="Arial"/>
                <w:color w:val="231F20"/>
                <w:lang w:eastAsia="en-GB"/>
              </w:rPr>
              <w:t xml:space="preserve"> it is inaccurate</w:t>
            </w:r>
          </w:p>
          <w:p w14:paraId="2DA6358F" w14:textId="0B48BF16"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To restrict or stop processin</w:t>
            </w:r>
            <w:r>
              <w:rPr>
                <w:rFonts w:ascii="Arial" w:eastAsia="Times New Roman" w:hAnsi="Arial" w:cs="Arial"/>
                <w:color w:val="231F20"/>
                <w:lang w:eastAsia="en-GB"/>
              </w:rPr>
              <w:t>g</w:t>
            </w:r>
          </w:p>
          <w:p w14:paraId="5C61675E" w14:textId="706AB0DE"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xml:space="preserve">• Object to </w:t>
            </w:r>
            <w:r w:rsidR="00FE46ED">
              <w:rPr>
                <w:rFonts w:ascii="Arial" w:eastAsia="Times New Roman" w:hAnsi="Arial" w:cs="Arial"/>
                <w:color w:val="231F20"/>
                <w:lang w:eastAsia="en-GB"/>
              </w:rPr>
              <w:t>your information</w:t>
            </w:r>
            <w:r w:rsidRPr="004232BF">
              <w:rPr>
                <w:rFonts w:ascii="Arial" w:eastAsia="Times New Roman" w:hAnsi="Arial" w:cs="Arial"/>
                <w:color w:val="231F20"/>
                <w:lang w:eastAsia="en-GB"/>
              </w:rPr>
              <w:t xml:space="preserve"> being processed or used</w:t>
            </w:r>
          </w:p>
          <w:p w14:paraId="30289FEC" w14:textId="74F702AD" w:rsidR="00080D20" w:rsidRPr="00F033A2"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xml:space="preserve">• Not to be subject </w:t>
            </w:r>
            <w:r w:rsidR="00FE46ED">
              <w:rPr>
                <w:rFonts w:ascii="Arial" w:eastAsia="Times New Roman" w:hAnsi="Arial" w:cs="Arial"/>
                <w:color w:val="231F20"/>
                <w:lang w:eastAsia="en-GB"/>
              </w:rPr>
              <w:t xml:space="preserve">to </w:t>
            </w:r>
            <w:r w:rsidRPr="004232BF">
              <w:rPr>
                <w:rFonts w:ascii="Arial" w:eastAsia="Times New Roman" w:hAnsi="Arial" w:cs="Arial"/>
                <w:color w:val="231F20"/>
                <w:lang w:eastAsia="en-GB"/>
              </w:rPr>
              <w:t>automated decision-</w:t>
            </w:r>
            <w:r w:rsidR="00FE46ED">
              <w:rPr>
                <w:rFonts w:ascii="Arial" w:eastAsia="Times New Roman" w:hAnsi="Arial" w:cs="Arial"/>
                <w:color w:val="231F20"/>
                <w:lang w:eastAsia="en-GB"/>
              </w:rPr>
              <w:t>m</w:t>
            </w:r>
            <w:r w:rsidRPr="004232BF">
              <w:rPr>
                <w:rFonts w:ascii="Arial" w:eastAsia="Times New Roman" w:hAnsi="Arial" w:cs="Arial"/>
                <w:color w:val="231F20"/>
                <w:lang w:eastAsia="en-GB"/>
              </w:rPr>
              <w:t>aking or profiling</w:t>
            </w: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 xml:space="preserve">How long we will keep the </w:t>
            </w:r>
            <w:proofErr w:type="gramStart"/>
            <w:r w:rsidRPr="00DA3EDA">
              <w:rPr>
                <w:rFonts w:ascii="Arial" w:hAnsi="Arial" w:cs="Arial"/>
                <w:b/>
              </w:rPr>
              <w:t>information</w:t>
            </w:r>
            <w:proofErr w:type="gramEnd"/>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05603073" w14:textId="2578D130" w:rsidR="000A7DCC" w:rsidRPr="00BC2988" w:rsidRDefault="00C65160" w:rsidP="00CC153B">
            <w:pPr>
              <w:spacing w:before="100" w:beforeAutospacing="1" w:after="100" w:afterAutospacing="1"/>
              <w:rPr>
                <w:rFonts w:ascii="Arial" w:hAnsi="Arial" w:cs="Arial"/>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w:t>
            </w:r>
            <w:hyperlink r:id="rId11" w:history="1">
              <w:r w:rsidRPr="00051863">
                <w:rPr>
                  <w:rStyle w:val="Hyperlink"/>
                  <w:rFonts w:ascii="Arial" w:eastAsia="Times New Roman" w:hAnsi="Arial" w:cs="Arial"/>
                  <w:lang w:val="en" w:eastAsia="en-GB"/>
                </w:rPr>
                <w:t>Records Management Code of Practice 2021</w:t>
              </w:r>
            </w:hyperlink>
            <w:r>
              <w:rPr>
                <w:rFonts w:ascii="Arial" w:eastAsia="Times New Roman" w:hAnsi="Arial" w:cs="Arial"/>
                <w:lang w:val="en" w:eastAsia="en-GB"/>
              </w:rPr>
              <w:t>.</w:t>
            </w:r>
          </w:p>
        </w:tc>
      </w:tr>
      <w:tr w:rsidR="00650ABC" w14:paraId="66586519" w14:textId="77777777" w:rsidTr="007E4B96">
        <w:tc>
          <w:tcPr>
            <w:tcW w:w="2518" w:type="dxa"/>
          </w:tcPr>
          <w:p w14:paraId="485DC74E" w14:textId="0D7EC6DA" w:rsidR="00650ABC" w:rsidRDefault="00650ABC">
            <w:pPr>
              <w:rPr>
                <w:rFonts w:ascii="Arial" w:hAnsi="Arial" w:cs="Arial"/>
                <w:b/>
              </w:rPr>
            </w:pPr>
            <w:r>
              <w:rPr>
                <w:rFonts w:ascii="Arial" w:hAnsi="Arial" w:cs="Arial"/>
                <w:b/>
              </w:rPr>
              <w:t>Opt-</w:t>
            </w:r>
            <w:r w:rsidR="00FE46ED">
              <w:rPr>
                <w:rFonts w:ascii="Arial" w:hAnsi="Arial" w:cs="Arial"/>
                <w:b/>
              </w:rPr>
              <w:t>O</w:t>
            </w:r>
            <w:r>
              <w:rPr>
                <w:rFonts w:ascii="Arial" w:hAnsi="Arial" w:cs="Arial"/>
                <w:b/>
              </w:rPr>
              <w:t>ut</w:t>
            </w:r>
          </w:p>
          <w:p w14:paraId="00532A31" w14:textId="726C8601" w:rsidR="000A7DCC" w:rsidRPr="00DA3EDA" w:rsidRDefault="000A7DCC">
            <w:pPr>
              <w:rPr>
                <w:rFonts w:ascii="Arial" w:hAnsi="Arial" w:cs="Arial"/>
                <w:b/>
              </w:rPr>
            </w:pPr>
          </w:p>
        </w:tc>
        <w:tc>
          <w:tcPr>
            <w:tcW w:w="6724" w:type="dxa"/>
          </w:tcPr>
          <w:p w14:paraId="1186402B" w14:textId="543F888E" w:rsidR="00650ABC" w:rsidRPr="00406E16" w:rsidRDefault="00544BE0" w:rsidP="00D508CB">
            <w:pPr>
              <w:spacing w:before="100" w:beforeAutospacing="1" w:after="100" w:afterAutospacing="1"/>
              <w:rPr>
                <w:rFonts w:ascii="Arial" w:eastAsia="Times New Roman" w:hAnsi="Arial" w:cs="Arial"/>
                <w:b/>
                <w:bCs/>
                <w:lang w:eastAsia="en-GB"/>
              </w:rPr>
            </w:pPr>
            <w:r>
              <w:rPr>
                <w:rFonts w:ascii="Arial" w:eastAsia="Times New Roman" w:hAnsi="Arial" w:cs="Arial"/>
                <w:lang w:val="en" w:eastAsia="en-GB"/>
              </w:rPr>
              <w:t>You have the right to opt-out of your</w:t>
            </w:r>
            <w:r w:rsidR="00080D20">
              <w:rPr>
                <w:rFonts w:ascii="Arial" w:eastAsia="Times New Roman" w:hAnsi="Arial" w:cs="Arial"/>
                <w:lang w:val="en" w:eastAsia="en-GB"/>
              </w:rPr>
              <w:t xml:space="preserve"> identifiable</w:t>
            </w:r>
            <w:r>
              <w:rPr>
                <w:rFonts w:ascii="Arial" w:eastAsia="Times New Roman" w:hAnsi="Arial" w:cs="Arial"/>
                <w:lang w:val="en" w:eastAsia="en-GB"/>
              </w:rPr>
              <w:t xml:space="preserve"> information being used for </w:t>
            </w:r>
            <w:r w:rsidR="00FE46ED">
              <w:rPr>
                <w:rFonts w:ascii="Arial" w:eastAsia="Times New Roman" w:hAnsi="Arial" w:cs="Arial"/>
                <w:lang w:val="en" w:eastAsia="en-GB"/>
              </w:rPr>
              <w:t>Population Health</w:t>
            </w:r>
            <w:r w:rsidR="0014645E">
              <w:rPr>
                <w:rFonts w:ascii="Arial" w:eastAsia="Times New Roman" w:hAnsi="Arial" w:cs="Arial"/>
                <w:lang w:val="en" w:eastAsia="en-GB"/>
              </w:rPr>
              <w:t xml:space="preserve"> Management</w:t>
            </w:r>
            <w:r>
              <w:rPr>
                <w:rFonts w:ascii="Arial" w:eastAsia="Times New Roman" w:hAnsi="Arial" w:cs="Arial"/>
                <w:lang w:val="en" w:eastAsia="en-GB"/>
              </w:rPr>
              <w:t xml:space="preserve"> purposes. </w:t>
            </w:r>
            <w:r w:rsidR="0014645E">
              <w:rPr>
                <w:rFonts w:ascii="Arial" w:eastAsia="Times New Roman" w:hAnsi="Arial" w:cs="Arial"/>
                <w:lang w:val="en" w:eastAsia="en-GB"/>
              </w:rPr>
              <w:t xml:space="preserve">For information on how to opt-out, please visit our web-page titled </w:t>
            </w:r>
            <w:r w:rsidR="00406E16">
              <w:rPr>
                <w:rFonts w:ascii="Arial" w:eastAsia="Times New Roman" w:hAnsi="Arial" w:cs="Arial"/>
                <w:lang w:val="en" w:eastAsia="en-GB"/>
              </w:rPr>
              <w:t xml:space="preserve"> </w:t>
            </w:r>
            <w:hyperlink r:id="rId12" w:history="1">
              <w:r w:rsidR="00406E16" w:rsidRPr="00406E16">
                <w:rPr>
                  <w:rStyle w:val="Hyperlink"/>
                  <w:rFonts w:ascii="Arial" w:eastAsia="Times New Roman" w:hAnsi="Arial" w:cs="Arial"/>
                  <w:lang w:val="en" w:eastAsia="en-GB"/>
                </w:rPr>
                <w:t>‘</w:t>
              </w:r>
              <w:r w:rsidR="00406E16" w:rsidRPr="00406E16">
                <w:rPr>
                  <w:rStyle w:val="Hyperlink"/>
                  <w:rFonts w:ascii="Arial" w:eastAsia="Times New Roman" w:hAnsi="Arial" w:cs="Arial"/>
                  <w:b/>
                  <w:bCs/>
                  <w:lang w:eastAsia="en-GB"/>
                </w:rPr>
                <w:t>Patient Records: how Nottingham and Nottinghamshire NHS use your personal information’</w:t>
              </w:r>
            </w:hyperlink>
          </w:p>
        </w:tc>
      </w:tr>
    </w:tbl>
    <w:p w14:paraId="743D7D13" w14:textId="77777777" w:rsidR="007E4B96" w:rsidRPr="007E4B96" w:rsidRDefault="007E4B96">
      <w:pPr>
        <w:rPr>
          <w:sz w:val="28"/>
          <w:szCs w:val="28"/>
        </w:rPr>
      </w:pPr>
    </w:p>
    <w:sectPr w:rsidR="007E4B96" w:rsidRPr="007E4B96" w:rsidSect="00CC153B">
      <w:headerReference w:type="default" r:id="rId13"/>
      <w:headerReference w:type="first" r:id="rId14"/>
      <w:footerReference w:type="first" r:id="rId15"/>
      <w:pgSz w:w="11906" w:h="16838"/>
      <w:pgMar w:top="118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E702" w14:textId="77777777" w:rsidR="00F06068" w:rsidRDefault="00F06068" w:rsidP="007E4B96">
      <w:pPr>
        <w:spacing w:after="0" w:line="240" w:lineRule="auto"/>
      </w:pPr>
      <w:r>
        <w:separator/>
      </w:r>
    </w:p>
  </w:endnote>
  <w:endnote w:type="continuationSeparator" w:id="0">
    <w:p w14:paraId="7E05984B" w14:textId="77777777" w:rsidR="00F06068" w:rsidRDefault="00F06068"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4A4079CD" w:rsidR="00F15657" w:rsidRPr="00F15657" w:rsidRDefault="00406E16">
    <w:pPr>
      <w:pStyle w:val="Footer"/>
      <w:rPr>
        <w:rFonts w:ascii="Arial" w:hAnsi="Arial" w:cs="Arial"/>
        <w:sz w:val="16"/>
        <w:szCs w:val="16"/>
      </w:rPr>
    </w:pPr>
    <w:r>
      <w:rPr>
        <w:rFonts w:ascii="Arial" w:hAnsi="Arial" w:cs="Arial"/>
        <w:sz w:val="16"/>
        <w:szCs w:val="16"/>
      </w:rPr>
      <w:t xml:space="preserve">August </w:t>
    </w:r>
    <w:r w:rsidR="00F15657" w:rsidRPr="00F15657">
      <w:rPr>
        <w:rFonts w:ascii="Arial" w:hAnsi="Arial" w:cs="Arial"/>
        <w:sz w:val="16"/>
        <w:szCs w:val="16"/>
      </w:rPr>
      <w:t>202</w:t>
    </w:r>
    <w:r w:rsidR="009154CE">
      <w:rPr>
        <w:rFonts w:ascii="Arial" w:hAnsi="Arial" w:cs="Arial"/>
        <w:sz w:val="16"/>
        <w:szCs w:val="16"/>
      </w:rPr>
      <w:t>4</w:t>
    </w:r>
    <w:r w:rsidR="00F15657" w:rsidRPr="00F15657">
      <w:rPr>
        <w:rFonts w:ascii="Arial" w:hAnsi="Arial" w:cs="Arial"/>
        <w:sz w:val="16"/>
        <w:szCs w:val="16"/>
      </w:rPr>
      <w:t>- V</w:t>
    </w:r>
    <w:r w:rsidR="009154CE">
      <w:rPr>
        <w:rFonts w:ascii="Arial" w:hAnsi="Arial" w:cs="Arial"/>
        <w:sz w:val="16"/>
        <w:szCs w:val="16"/>
      </w:rPr>
      <w:t>1.</w:t>
    </w:r>
    <w:r w:rsidR="00C65160">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9B39" w14:textId="77777777" w:rsidR="00F06068" w:rsidRDefault="00F06068" w:rsidP="007E4B96">
      <w:pPr>
        <w:spacing w:after="0" w:line="240" w:lineRule="auto"/>
      </w:pPr>
      <w:r>
        <w:separator/>
      </w:r>
    </w:p>
  </w:footnote>
  <w:footnote w:type="continuationSeparator" w:id="0">
    <w:p w14:paraId="26558BFA" w14:textId="77777777" w:rsidR="00F06068" w:rsidRDefault="00F06068"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4305"/>
    <w:multiLevelType w:val="hybridMultilevel"/>
    <w:tmpl w:val="A78A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63B6"/>
    <w:multiLevelType w:val="hybridMultilevel"/>
    <w:tmpl w:val="D57EED80"/>
    <w:lvl w:ilvl="0" w:tplc="FBA804C0">
      <w:start w:val="1"/>
      <w:numFmt w:val="bullet"/>
      <w:lvlText w:val=""/>
      <w:lvlJc w:val="left"/>
      <w:pPr>
        <w:ind w:left="360" w:hanging="360"/>
      </w:pPr>
      <w:rPr>
        <w:rFonts w:ascii="Symbol" w:hAnsi="Symbol" w:hint="default"/>
        <w:sz w:val="16"/>
        <w:szCs w:val="16"/>
      </w:rPr>
    </w:lvl>
    <w:lvl w:ilvl="1" w:tplc="144E6C7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67637C"/>
    <w:multiLevelType w:val="hybridMultilevel"/>
    <w:tmpl w:val="AC0A6A8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55834ABE"/>
    <w:multiLevelType w:val="multilevel"/>
    <w:tmpl w:val="3C8A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3647768">
    <w:abstractNumId w:val="3"/>
  </w:num>
  <w:num w:numId="2" w16cid:durableId="663819064">
    <w:abstractNumId w:val="0"/>
  </w:num>
  <w:num w:numId="3" w16cid:durableId="763695863">
    <w:abstractNumId w:val="1"/>
  </w:num>
  <w:num w:numId="4" w16cid:durableId="650250767">
    <w:abstractNumId w:val="4"/>
  </w:num>
  <w:num w:numId="5" w16cid:durableId="196352235">
    <w:abstractNumId w:val="7"/>
  </w:num>
  <w:num w:numId="6" w16cid:durableId="328796415">
    <w:abstractNumId w:val="6"/>
  </w:num>
  <w:num w:numId="7" w16cid:durableId="1617517343">
    <w:abstractNumId w:val="2"/>
  </w:num>
  <w:num w:numId="8" w16cid:durableId="144087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519DD"/>
    <w:rsid w:val="00080D20"/>
    <w:rsid w:val="0009583B"/>
    <w:rsid w:val="000A7DCC"/>
    <w:rsid w:val="0014645E"/>
    <w:rsid w:val="00150651"/>
    <w:rsid w:val="00277D88"/>
    <w:rsid w:val="002B5DA5"/>
    <w:rsid w:val="002E6FED"/>
    <w:rsid w:val="0033130B"/>
    <w:rsid w:val="00383C64"/>
    <w:rsid w:val="003E3340"/>
    <w:rsid w:val="00406E16"/>
    <w:rsid w:val="004218BF"/>
    <w:rsid w:val="00461F2C"/>
    <w:rsid w:val="004775F6"/>
    <w:rsid w:val="00484B65"/>
    <w:rsid w:val="00544BE0"/>
    <w:rsid w:val="005A2AEF"/>
    <w:rsid w:val="00650ABC"/>
    <w:rsid w:val="006661B3"/>
    <w:rsid w:val="006A470A"/>
    <w:rsid w:val="006F1071"/>
    <w:rsid w:val="006F77D2"/>
    <w:rsid w:val="007450AC"/>
    <w:rsid w:val="0075433B"/>
    <w:rsid w:val="007565D7"/>
    <w:rsid w:val="007E4B96"/>
    <w:rsid w:val="008E47E6"/>
    <w:rsid w:val="009154CE"/>
    <w:rsid w:val="00941BE0"/>
    <w:rsid w:val="009613B8"/>
    <w:rsid w:val="0096596E"/>
    <w:rsid w:val="00975D3C"/>
    <w:rsid w:val="00981E00"/>
    <w:rsid w:val="00991C38"/>
    <w:rsid w:val="00A353CD"/>
    <w:rsid w:val="00A5269B"/>
    <w:rsid w:val="00A715B5"/>
    <w:rsid w:val="00A857BE"/>
    <w:rsid w:val="00A91139"/>
    <w:rsid w:val="00AD3EED"/>
    <w:rsid w:val="00AD4CAF"/>
    <w:rsid w:val="00B00861"/>
    <w:rsid w:val="00B0208A"/>
    <w:rsid w:val="00B106EF"/>
    <w:rsid w:val="00B32DF7"/>
    <w:rsid w:val="00B60607"/>
    <w:rsid w:val="00BB56E7"/>
    <w:rsid w:val="00BB7636"/>
    <w:rsid w:val="00BC2988"/>
    <w:rsid w:val="00BC3611"/>
    <w:rsid w:val="00C31054"/>
    <w:rsid w:val="00C44A0F"/>
    <w:rsid w:val="00C60831"/>
    <w:rsid w:val="00C65160"/>
    <w:rsid w:val="00C72E0D"/>
    <w:rsid w:val="00C746B1"/>
    <w:rsid w:val="00C86DE9"/>
    <w:rsid w:val="00C87092"/>
    <w:rsid w:val="00CB3444"/>
    <w:rsid w:val="00CC153B"/>
    <w:rsid w:val="00CD6BD8"/>
    <w:rsid w:val="00CF6EAE"/>
    <w:rsid w:val="00CF785B"/>
    <w:rsid w:val="00D16415"/>
    <w:rsid w:val="00D508CB"/>
    <w:rsid w:val="00D6333E"/>
    <w:rsid w:val="00DA3EDA"/>
    <w:rsid w:val="00DB0621"/>
    <w:rsid w:val="00DB4F29"/>
    <w:rsid w:val="00DC0E91"/>
    <w:rsid w:val="00DD50D2"/>
    <w:rsid w:val="00DE5CA8"/>
    <w:rsid w:val="00E26ED3"/>
    <w:rsid w:val="00ED6288"/>
    <w:rsid w:val="00F033A2"/>
    <w:rsid w:val="00F06068"/>
    <w:rsid w:val="00F15657"/>
    <w:rsid w:val="00FC20AF"/>
    <w:rsid w:val="00FE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E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styleId="NormalWeb">
    <w:name w:val="Normal (Web)"/>
    <w:basedOn w:val="Normal"/>
    <w:uiPriority w:val="99"/>
    <w:unhideWhenUsed/>
    <w:rsid w:val="00B008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6E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48">
      <w:bodyDiv w:val="1"/>
      <w:marLeft w:val="0"/>
      <w:marRight w:val="0"/>
      <w:marTop w:val="0"/>
      <w:marBottom w:val="0"/>
      <w:divBdr>
        <w:top w:val="none" w:sz="0" w:space="0" w:color="auto"/>
        <w:left w:val="none" w:sz="0" w:space="0" w:color="auto"/>
        <w:bottom w:val="none" w:sz="0" w:space="0" w:color="auto"/>
        <w:right w:val="none" w:sz="0" w:space="0" w:color="auto"/>
      </w:divBdr>
    </w:div>
    <w:div w:id="93983266">
      <w:bodyDiv w:val="1"/>
      <w:marLeft w:val="0"/>
      <w:marRight w:val="0"/>
      <w:marTop w:val="0"/>
      <w:marBottom w:val="0"/>
      <w:divBdr>
        <w:top w:val="none" w:sz="0" w:space="0" w:color="auto"/>
        <w:left w:val="none" w:sz="0" w:space="0" w:color="auto"/>
        <w:bottom w:val="none" w:sz="0" w:space="0" w:color="auto"/>
        <w:right w:val="none" w:sz="0" w:space="0" w:color="auto"/>
      </w:divBdr>
    </w:div>
    <w:div w:id="235095619">
      <w:bodyDiv w:val="1"/>
      <w:marLeft w:val="0"/>
      <w:marRight w:val="0"/>
      <w:marTop w:val="0"/>
      <w:marBottom w:val="0"/>
      <w:divBdr>
        <w:top w:val="none" w:sz="0" w:space="0" w:color="auto"/>
        <w:left w:val="none" w:sz="0" w:space="0" w:color="auto"/>
        <w:bottom w:val="none" w:sz="0" w:space="0" w:color="auto"/>
        <w:right w:val="none" w:sz="0" w:space="0" w:color="auto"/>
      </w:divBdr>
    </w:div>
    <w:div w:id="245309443">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994844692">
      <w:bodyDiv w:val="1"/>
      <w:marLeft w:val="0"/>
      <w:marRight w:val="0"/>
      <w:marTop w:val="0"/>
      <w:marBottom w:val="0"/>
      <w:divBdr>
        <w:top w:val="none" w:sz="0" w:space="0" w:color="auto"/>
        <w:left w:val="none" w:sz="0" w:space="0" w:color="auto"/>
        <w:bottom w:val="none" w:sz="0" w:space="0" w:color="auto"/>
        <w:right w:val="none" w:sz="0" w:space="0" w:color="auto"/>
      </w:divBdr>
    </w:div>
    <w:div w:id="1163736796">
      <w:bodyDiv w:val="1"/>
      <w:marLeft w:val="0"/>
      <w:marRight w:val="0"/>
      <w:marTop w:val="0"/>
      <w:marBottom w:val="0"/>
      <w:divBdr>
        <w:top w:val="none" w:sz="0" w:space="0" w:color="auto"/>
        <w:left w:val="none" w:sz="0" w:space="0" w:color="auto"/>
        <w:bottom w:val="none" w:sz="0" w:space="0" w:color="auto"/>
        <w:right w:val="none" w:sz="0" w:space="0" w:color="auto"/>
      </w:divBdr>
    </w:div>
    <w:div w:id="1182738030">
      <w:bodyDiv w:val="1"/>
      <w:marLeft w:val="0"/>
      <w:marRight w:val="0"/>
      <w:marTop w:val="0"/>
      <w:marBottom w:val="0"/>
      <w:divBdr>
        <w:top w:val="none" w:sz="0" w:space="0" w:color="auto"/>
        <w:left w:val="none" w:sz="0" w:space="0" w:color="auto"/>
        <w:bottom w:val="none" w:sz="0" w:space="0" w:color="auto"/>
        <w:right w:val="none" w:sz="0" w:space="0" w:color="auto"/>
      </w:divBdr>
    </w:div>
    <w:div w:id="1239442114">
      <w:bodyDiv w:val="1"/>
      <w:marLeft w:val="0"/>
      <w:marRight w:val="0"/>
      <w:marTop w:val="0"/>
      <w:marBottom w:val="0"/>
      <w:divBdr>
        <w:top w:val="none" w:sz="0" w:space="0" w:color="auto"/>
        <w:left w:val="none" w:sz="0" w:space="0" w:color="auto"/>
        <w:bottom w:val="none" w:sz="0" w:space="0" w:color="auto"/>
        <w:right w:val="none" w:sz="0" w:space="0" w:color="auto"/>
      </w:divBdr>
    </w:div>
    <w:div w:id="1535734632">
      <w:bodyDiv w:val="1"/>
      <w:marLeft w:val="0"/>
      <w:marRight w:val="0"/>
      <w:marTop w:val="0"/>
      <w:marBottom w:val="0"/>
      <w:divBdr>
        <w:top w:val="none" w:sz="0" w:space="0" w:color="auto"/>
        <w:left w:val="none" w:sz="0" w:space="0" w:color="auto"/>
        <w:bottom w:val="none" w:sz="0" w:space="0" w:color="auto"/>
        <w:right w:val="none" w:sz="0" w:space="0" w:color="auto"/>
      </w:divBdr>
    </w:div>
    <w:div w:id="1739471663">
      <w:bodyDiv w:val="1"/>
      <w:marLeft w:val="0"/>
      <w:marRight w:val="0"/>
      <w:marTop w:val="0"/>
      <w:marBottom w:val="0"/>
      <w:divBdr>
        <w:top w:val="none" w:sz="0" w:space="0" w:color="auto"/>
        <w:left w:val="none" w:sz="0" w:space="0" w:color="auto"/>
        <w:bottom w:val="none" w:sz="0" w:space="0" w:color="auto"/>
        <w:right w:val="none" w:sz="0" w:space="0" w:color="auto"/>
      </w:divBdr>
    </w:div>
    <w:div w:id="17685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patient-recor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ts.icb.nhs.uk/patient-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ra.nhs.uk/planning-and-improving-research/application-summaries/confidentiality-advisory-group-registers/"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2024-12-09T17:21:00Z</dcterms:created>
  <dcterms:modified xsi:type="dcterms:W3CDTF">2024-12-09T17:23:00Z</dcterms:modified>
</cp:coreProperties>
</file>