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76043C24" w:rsidR="007E4B96" w:rsidRPr="00D55647" w:rsidRDefault="00E56992">
      <w:pPr>
        <w:rPr>
          <w:rFonts w:ascii="Arial" w:hAnsi="Arial" w:cs="Arial"/>
          <w:b/>
          <w:bCs/>
          <w:sz w:val="28"/>
          <w:szCs w:val="28"/>
        </w:rPr>
      </w:pPr>
      <w:r w:rsidRPr="00D55647">
        <w:rPr>
          <w:rFonts w:ascii="Arial" w:hAnsi="Arial" w:cs="Arial"/>
          <w:b/>
          <w:bCs/>
          <w:sz w:val="28"/>
          <w:szCs w:val="28"/>
        </w:rPr>
        <w:t>Special Educational Needs and Disabilities (SEND)</w:t>
      </w:r>
    </w:p>
    <w:tbl>
      <w:tblPr>
        <w:tblStyle w:val="TableGrid"/>
        <w:tblW w:w="0" w:type="auto"/>
        <w:tblLook w:val="04A0" w:firstRow="1" w:lastRow="0" w:firstColumn="1" w:lastColumn="0" w:noHBand="0" w:noVBand="1"/>
      </w:tblPr>
      <w:tblGrid>
        <w:gridCol w:w="2481"/>
        <w:gridCol w:w="6535"/>
      </w:tblGrid>
      <w:tr w:rsidR="007E4B96" w14:paraId="76DDEB7A" w14:textId="77777777" w:rsidTr="0033215F">
        <w:trPr>
          <w:trHeight w:val="6653"/>
        </w:trPr>
        <w:tc>
          <w:tcPr>
            <w:tcW w:w="2481"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535" w:type="dxa"/>
          </w:tcPr>
          <w:p w14:paraId="29F9010B" w14:textId="59F81FA0" w:rsidR="007450AC" w:rsidRDefault="00E56992" w:rsidP="00576AFD">
            <w:pPr>
              <w:rPr>
                <w:rFonts w:ascii="Arial" w:eastAsia="Times New Roman" w:hAnsi="Arial" w:cs="Arial"/>
                <w:lang w:eastAsia="en-GB"/>
              </w:rPr>
            </w:pPr>
            <w:r>
              <w:rPr>
                <w:rFonts w:ascii="Arial" w:eastAsia="Times New Roman" w:hAnsi="Arial" w:cs="Arial"/>
                <w:lang w:eastAsia="en-GB"/>
              </w:rPr>
              <w:t>T</w:t>
            </w:r>
            <w:r w:rsidRPr="00E56992">
              <w:rPr>
                <w:rFonts w:ascii="Arial" w:eastAsia="Times New Roman" w:hAnsi="Arial" w:cs="Arial"/>
                <w:lang w:eastAsia="en-GB"/>
              </w:rPr>
              <w:t xml:space="preserve">he Children and Families </w:t>
            </w:r>
            <w:r w:rsidR="000711C9">
              <w:rPr>
                <w:rFonts w:ascii="Arial" w:eastAsia="Times New Roman" w:hAnsi="Arial" w:cs="Arial"/>
                <w:lang w:eastAsia="en-GB"/>
              </w:rPr>
              <w:t>(C&amp;</w:t>
            </w:r>
            <w:r w:rsidR="00F00DFD">
              <w:rPr>
                <w:rFonts w:ascii="Arial" w:eastAsia="Times New Roman" w:hAnsi="Arial" w:cs="Arial"/>
                <w:lang w:eastAsia="en-GB"/>
              </w:rPr>
              <w:t>F) Act</w:t>
            </w:r>
            <w:r w:rsidRPr="00E56992">
              <w:rPr>
                <w:rFonts w:ascii="Arial" w:eastAsia="Times New Roman" w:hAnsi="Arial" w:cs="Arial"/>
                <w:lang w:eastAsia="en-GB"/>
              </w:rPr>
              <w:t xml:space="preserve"> 2014 places statutory duties on the NHS,</w:t>
            </w:r>
            <w:r w:rsidR="00013AE1">
              <w:rPr>
                <w:rFonts w:ascii="Arial" w:eastAsia="Times New Roman" w:hAnsi="Arial" w:cs="Arial"/>
                <w:lang w:eastAsia="en-GB"/>
              </w:rPr>
              <w:t xml:space="preserve"> Integrated Care Board</w:t>
            </w:r>
            <w:r w:rsidR="000711C9">
              <w:rPr>
                <w:rFonts w:ascii="Arial" w:eastAsia="Times New Roman" w:hAnsi="Arial" w:cs="Arial"/>
                <w:lang w:eastAsia="en-GB"/>
              </w:rPr>
              <w:t xml:space="preserve"> (ICB</w:t>
            </w:r>
            <w:r w:rsidR="00F00DFD">
              <w:rPr>
                <w:rFonts w:ascii="Arial" w:eastAsia="Times New Roman" w:hAnsi="Arial" w:cs="Arial"/>
                <w:lang w:eastAsia="en-GB"/>
              </w:rPr>
              <w:t>),</w:t>
            </w:r>
            <w:r w:rsidR="00F00DFD" w:rsidRPr="00E56992">
              <w:rPr>
                <w:rFonts w:ascii="Arial" w:eastAsia="Times New Roman" w:hAnsi="Arial" w:cs="Arial"/>
                <w:lang w:eastAsia="en-GB"/>
              </w:rPr>
              <w:t xml:space="preserve"> health</w:t>
            </w:r>
            <w:r w:rsidRPr="00E56992">
              <w:rPr>
                <w:rFonts w:ascii="Arial" w:eastAsia="Times New Roman" w:hAnsi="Arial" w:cs="Arial"/>
                <w:lang w:eastAsia="en-GB"/>
              </w:rPr>
              <w:t xml:space="preserve"> commissioners, and providers, to work with local authorit</w:t>
            </w:r>
            <w:r w:rsidR="00013AE1">
              <w:rPr>
                <w:rFonts w:ascii="Arial" w:eastAsia="Times New Roman" w:hAnsi="Arial" w:cs="Arial"/>
                <w:lang w:eastAsia="en-GB"/>
              </w:rPr>
              <w:t>ies</w:t>
            </w:r>
            <w:r w:rsidR="00726FDA">
              <w:rPr>
                <w:rFonts w:ascii="Arial" w:eastAsia="Times New Roman" w:hAnsi="Arial" w:cs="Arial"/>
                <w:lang w:eastAsia="en-GB"/>
              </w:rPr>
              <w:t xml:space="preserve"> </w:t>
            </w:r>
            <w:r w:rsidRPr="00E56992">
              <w:rPr>
                <w:rFonts w:ascii="Arial" w:eastAsia="Times New Roman" w:hAnsi="Arial" w:cs="Arial"/>
                <w:lang w:eastAsia="en-GB"/>
              </w:rPr>
              <w:t xml:space="preserve">to provide support to children and young people </w:t>
            </w:r>
            <w:r w:rsidR="00013AE1">
              <w:rPr>
                <w:rFonts w:ascii="Arial" w:eastAsia="Times New Roman" w:hAnsi="Arial" w:cs="Arial"/>
                <w:lang w:eastAsia="en-GB"/>
              </w:rPr>
              <w:t xml:space="preserve">(CYP) </w:t>
            </w:r>
            <w:r w:rsidRPr="00E56992">
              <w:rPr>
                <w:rFonts w:ascii="Arial" w:eastAsia="Times New Roman" w:hAnsi="Arial" w:cs="Arial"/>
                <w:lang w:eastAsia="en-GB"/>
              </w:rPr>
              <w:t xml:space="preserve">with SEND who are aged 0-25 years. This requires all partner agencies to work collaboratively </w:t>
            </w:r>
            <w:r w:rsidR="00013AE1">
              <w:rPr>
                <w:rFonts w:ascii="Arial" w:eastAsia="Times New Roman" w:hAnsi="Arial" w:cs="Arial"/>
                <w:lang w:eastAsia="en-GB"/>
              </w:rPr>
              <w:t xml:space="preserve">across the system </w:t>
            </w:r>
            <w:r w:rsidRPr="00E56992">
              <w:rPr>
                <w:rFonts w:ascii="Arial" w:eastAsia="Times New Roman" w:hAnsi="Arial" w:cs="Arial"/>
                <w:lang w:eastAsia="en-GB"/>
              </w:rPr>
              <w:t xml:space="preserve">to improve outcomes for </w:t>
            </w:r>
            <w:r w:rsidR="00013AE1">
              <w:rPr>
                <w:rFonts w:ascii="Arial" w:eastAsia="Times New Roman" w:hAnsi="Arial" w:cs="Arial"/>
                <w:lang w:eastAsia="en-GB"/>
              </w:rPr>
              <w:t>CYP</w:t>
            </w:r>
            <w:r w:rsidRPr="00E56992">
              <w:rPr>
                <w:rFonts w:ascii="Arial" w:eastAsia="Times New Roman" w:hAnsi="Arial" w:cs="Arial"/>
                <w:lang w:eastAsia="en-GB"/>
              </w:rPr>
              <w:t xml:space="preserve"> with SEND</w:t>
            </w:r>
            <w:r w:rsidR="00013AE1">
              <w:rPr>
                <w:rFonts w:ascii="Arial" w:eastAsia="Times New Roman" w:hAnsi="Arial" w:cs="Arial"/>
                <w:lang w:eastAsia="en-GB"/>
              </w:rPr>
              <w:t xml:space="preserve"> (0-25)</w:t>
            </w:r>
            <w:r w:rsidR="000711C9">
              <w:rPr>
                <w:rFonts w:ascii="Arial" w:eastAsia="Times New Roman" w:hAnsi="Arial" w:cs="Arial"/>
                <w:lang w:eastAsia="en-GB"/>
              </w:rPr>
              <w:t xml:space="preserve"> </w:t>
            </w:r>
          </w:p>
          <w:p w14:paraId="300E47FC" w14:textId="75FB91A5" w:rsidR="00726FDA" w:rsidRDefault="00726FDA" w:rsidP="00576AFD">
            <w:pPr>
              <w:rPr>
                <w:rFonts w:ascii="Arial" w:eastAsia="Times New Roman" w:hAnsi="Arial" w:cs="Arial"/>
                <w:lang w:eastAsia="en-GB"/>
              </w:rPr>
            </w:pPr>
            <w:r>
              <w:rPr>
                <w:rFonts w:ascii="Arial" w:eastAsia="Times New Roman" w:hAnsi="Arial" w:cs="Arial"/>
                <w:lang w:eastAsia="en-GB"/>
              </w:rPr>
              <w:t>The SEND Code of Practice 0–25-year-olds, 2015, provides guidance to the statutory requirements underpinned in the C&amp;F Act, 2014.</w:t>
            </w:r>
          </w:p>
          <w:p w14:paraId="0F5A4B76" w14:textId="160DA637" w:rsidR="000711C9" w:rsidRDefault="000711C9" w:rsidP="00576AFD">
            <w:pPr>
              <w:rPr>
                <w:rFonts w:ascii="Arial" w:eastAsia="Times New Roman" w:hAnsi="Arial" w:cs="Arial"/>
                <w:lang w:eastAsia="en-GB"/>
              </w:rPr>
            </w:pPr>
          </w:p>
          <w:p w14:paraId="4F2F15DC" w14:textId="585B71A1" w:rsidR="000711C9" w:rsidRPr="00461D17" w:rsidRDefault="000711C9" w:rsidP="000711C9">
            <w:pPr>
              <w:spacing w:after="120"/>
              <w:rPr>
                <w:rFonts w:ascii="Arial" w:hAnsi="Arial" w:cs="Arial"/>
              </w:rPr>
            </w:pPr>
            <w:r w:rsidRPr="00013AE1">
              <w:rPr>
                <w:rFonts w:ascii="Arial" w:hAnsi="Arial" w:cs="Arial"/>
              </w:rPr>
              <w:t>For</w:t>
            </w:r>
            <w:r w:rsidRPr="00461D17">
              <w:rPr>
                <w:rFonts w:ascii="Arial" w:hAnsi="Arial" w:cs="Arial"/>
              </w:rPr>
              <w:t xml:space="preserve"> NHS professionals to meet the statutory requirements outlined in Part 3 of </w:t>
            </w:r>
            <w:r w:rsidR="00726FDA">
              <w:rPr>
                <w:rFonts w:ascii="Arial" w:hAnsi="Arial" w:cs="Arial"/>
              </w:rPr>
              <w:t>t</w:t>
            </w:r>
            <w:r w:rsidRPr="00461D17">
              <w:rPr>
                <w:rFonts w:ascii="Arial" w:hAnsi="Arial" w:cs="Arial"/>
              </w:rPr>
              <w:t xml:space="preserve">he </w:t>
            </w:r>
            <w:r>
              <w:rPr>
                <w:rFonts w:ascii="Arial" w:hAnsi="Arial" w:cs="Arial"/>
              </w:rPr>
              <w:t>C&amp;F</w:t>
            </w:r>
            <w:r w:rsidRPr="00461D17">
              <w:rPr>
                <w:rFonts w:ascii="Arial" w:hAnsi="Arial" w:cs="Arial"/>
              </w:rPr>
              <w:t xml:space="preserve"> Act 2014:</w:t>
            </w:r>
          </w:p>
          <w:p w14:paraId="5C667F7F" w14:textId="77777777" w:rsidR="000711C9" w:rsidRPr="00461D17" w:rsidRDefault="000711C9" w:rsidP="000711C9">
            <w:pPr>
              <w:pStyle w:val="NoSpacing"/>
              <w:numPr>
                <w:ilvl w:val="0"/>
                <w:numId w:val="8"/>
              </w:numPr>
              <w:spacing w:after="120" w:line="257" w:lineRule="auto"/>
              <w:ind w:left="456" w:hanging="425"/>
              <w:jc w:val="both"/>
              <w:rPr>
                <w:rFonts w:ascii="Arial" w:hAnsi="Arial" w:cs="Arial"/>
              </w:rPr>
            </w:pPr>
            <w:r w:rsidRPr="00461D17">
              <w:rPr>
                <w:rFonts w:ascii="Arial" w:hAnsi="Arial" w:cs="Arial"/>
              </w:rPr>
              <w:t xml:space="preserve">They must respond to </w:t>
            </w:r>
          </w:p>
          <w:p w14:paraId="63361E86" w14:textId="77777777" w:rsidR="000711C9" w:rsidRPr="00461D17" w:rsidRDefault="000711C9" w:rsidP="000711C9">
            <w:pPr>
              <w:pStyle w:val="NoSpacing"/>
              <w:numPr>
                <w:ilvl w:val="0"/>
                <w:numId w:val="8"/>
              </w:numPr>
              <w:spacing w:line="257" w:lineRule="auto"/>
              <w:ind w:left="456" w:hanging="425"/>
              <w:jc w:val="both"/>
              <w:rPr>
                <w:rFonts w:ascii="Arial" w:hAnsi="Arial" w:cs="Arial"/>
              </w:rPr>
            </w:pPr>
            <w:r w:rsidRPr="00461D17">
              <w:rPr>
                <w:rFonts w:ascii="Arial" w:hAnsi="Arial" w:cs="Arial"/>
              </w:rPr>
              <w:t xml:space="preserve">Information will also be used to inform strategic delivery and funding decisions as well as for audit and quality assurance purposes.  </w:t>
            </w:r>
          </w:p>
          <w:p w14:paraId="24AE563D" w14:textId="77777777" w:rsidR="000711C9" w:rsidRDefault="000711C9" w:rsidP="00576AFD">
            <w:pPr>
              <w:rPr>
                <w:rFonts w:ascii="Arial" w:eastAsia="Times New Roman" w:hAnsi="Arial" w:cs="Arial"/>
                <w:lang w:eastAsia="en-GB"/>
              </w:rPr>
            </w:pPr>
          </w:p>
          <w:p w14:paraId="626B204F" w14:textId="77777777" w:rsidR="00013AE1" w:rsidRDefault="00013AE1" w:rsidP="00576AFD">
            <w:pPr>
              <w:rPr>
                <w:rFonts w:ascii="Arial" w:eastAsia="Times New Roman" w:hAnsi="Arial" w:cs="Arial"/>
                <w:lang w:eastAsia="en-GB"/>
              </w:rPr>
            </w:pPr>
          </w:p>
          <w:p w14:paraId="3AFDA7BC" w14:textId="6D407142" w:rsidR="00906B00" w:rsidRPr="00F91683" w:rsidRDefault="00013AE1" w:rsidP="00576AFD">
            <w:pPr>
              <w:rPr>
                <w:rFonts w:ascii="Arial" w:hAnsi="Arial" w:cs="Arial"/>
                <w:b/>
                <w:bCs/>
                <w:u w:val="single"/>
              </w:rPr>
            </w:pPr>
            <w:r w:rsidRPr="00F91683">
              <w:rPr>
                <w:rFonts w:ascii="Arial" w:hAnsi="Arial" w:cs="Arial"/>
                <w:b/>
                <w:bCs/>
                <w:u w:val="single"/>
              </w:rPr>
              <w:t>Education, Health and Care Plan (EHC Plan)</w:t>
            </w:r>
          </w:p>
          <w:p w14:paraId="01F8B0F0" w14:textId="77777777" w:rsidR="00013AE1" w:rsidRPr="00013AE1" w:rsidRDefault="00013AE1" w:rsidP="00013AE1">
            <w:pPr>
              <w:rPr>
                <w:rFonts w:ascii="Arial" w:eastAsia="Times New Roman" w:hAnsi="Arial" w:cs="Arial"/>
                <w:lang w:eastAsia="en-GB"/>
              </w:rPr>
            </w:pPr>
          </w:p>
          <w:p w14:paraId="0A5C801F" w14:textId="1EE21C70" w:rsidR="00880126" w:rsidRPr="00F91683" w:rsidRDefault="00013AE1" w:rsidP="00880126">
            <w:pPr>
              <w:rPr>
                <w:rFonts w:ascii="Arial" w:eastAsia="Times New Roman" w:hAnsi="Arial" w:cs="Arial"/>
                <w:lang w:eastAsia="en-GB"/>
              </w:rPr>
            </w:pPr>
            <w:r w:rsidRPr="00F91683">
              <w:rPr>
                <w:rFonts w:ascii="Arial" w:hAnsi="Arial" w:cs="Arial"/>
              </w:rPr>
              <w:t xml:space="preserve">EHC Plans </w:t>
            </w:r>
            <w:r w:rsidR="00880126" w:rsidRPr="00F91683">
              <w:rPr>
                <w:rFonts w:ascii="Arial" w:hAnsi="Arial" w:cs="Arial"/>
              </w:rPr>
              <w:t xml:space="preserve">bring together </w:t>
            </w:r>
            <w:r w:rsidR="00F00DFD" w:rsidRPr="00F91683">
              <w:rPr>
                <w:rFonts w:ascii="Arial" w:hAnsi="Arial" w:cs="Arial"/>
              </w:rPr>
              <w:t>all</w:t>
            </w:r>
            <w:r w:rsidR="00880126" w:rsidRPr="00F91683">
              <w:rPr>
                <w:rFonts w:ascii="Arial" w:hAnsi="Arial" w:cs="Arial"/>
              </w:rPr>
              <w:t xml:space="preserve"> the services that currently support </w:t>
            </w:r>
            <w:r w:rsidR="00906B00" w:rsidRPr="00F91683">
              <w:rPr>
                <w:rFonts w:ascii="Arial" w:hAnsi="Arial" w:cs="Arial"/>
              </w:rPr>
              <w:t xml:space="preserve">CYP with SEND and their </w:t>
            </w:r>
            <w:r w:rsidR="00880126" w:rsidRPr="00F91683">
              <w:rPr>
                <w:rFonts w:ascii="Arial" w:hAnsi="Arial" w:cs="Arial"/>
              </w:rPr>
              <w:t xml:space="preserve">families </w:t>
            </w:r>
            <w:r w:rsidR="00906B00" w:rsidRPr="00F91683">
              <w:rPr>
                <w:rFonts w:ascii="Arial" w:hAnsi="Arial" w:cs="Arial"/>
              </w:rPr>
              <w:t xml:space="preserve">as part </w:t>
            </w:r>
            <w:r w:rsidR="00880126" w:rsidRPr="00F91683">
              <w:rPr>
                <w:rFonts w:ascii="Arial" w:hAnsi="Arial" w:cs="Arial"/>
              </w:rPr>
              <w:t>EHC</w:t>
            </w:r>
            <w:r w:rsidR="00906B00" w:rsidRPr="00F91683">
              <w:rPr>
                <w:rFonts w:ascii="Arial" w:hAnsi="Arial" w:cs="Arial"/>
              </w:rPr>
              <w:t xml:space="preserve"> assessment process and this issuing of EHC plans. The EHC plans</w:t>
            </w:r>
            <w:r w:rsidR="00880126" w:rsidRPr="00F91683">
              <w:rPr>
                <w:rFonts w:ascii="Arial" w:hAnsi="Arial" w:cs="Arial"/>
              </w:rPr>
              <w:t xml:space="preserve"> provides statutory protection </w:t>
            </w:r>
            <w:r w:rsidRPr="00F91683">
              <w:rPr>
                <w:rFonts w:ascii="Arial" w:hAnsi="Arial" w:cs="Arial"/>
              </w:rPr>
              <w:t xml:space="preserve">for education, health and care provision detailed within and are accessible for </w:t>
            </w:r>
            <w:r w:rsidR="00880126" w:rsidRPr="00F91683">
              <w:rPr>
                <w:rFonts w:ascii="Arial" w:hAnsi="Arial" w:cs="Arial"/>
              </w:rPr>
              <w:t xml:space="preserve">individuals from birth up to the age of 25, </w:t>
            </w:r>
            <w:r w:rsidRPr="00F91683">
              <w:rPr>
                <w:rFonts w:ascii="Arial" w:hAnsi="Arial" w:cs="Arial"/>
              </w:rPr>
              <w:t xml:space="preserve">with SEND, </w:t>
            </w:r>
            <w:r w:rsidR="00880126" w:rsidRPr="00F91683">
              <w:rPr>
                <w:rFonts w:ascii="Arial" w:hAnsi="Arial" w:cs="Arial"/>
              </w:rPr>
              <w:t>extending the rights and protections of young people in further education and training. EHC</w:t>
            </w:r>
            <w:r w:rsidRPr="00F91683">
              <w:rPr>
                <w:rFonts w:ascii="Arial" w:hAnsi="Arial" w:cs="Arial"/>
              </w:rPr>
              <w:t xml:space="preserve"> </w:t>
            </w:r>
            <w:r w:rsidR="00880126" w:rsidRPr="00F91683">
              <w:rPr>
                <w:rFonts w:ascii="Arial" w:hAnsi="Arial" w:cs="Arial"/>
              </w:rPr>
              <w:t>P</w:t>
            </w:r>
            <w:r w:rsidRPr="00F91683">
              <w:rPr>
                <w:rFonts w:ascii="Arial" w:hAnsi="Arial" w:cs="Arial"/>
              </w:rPr>
              <w:t>lans</w:t>
            </w:r>
            <w:r w:rsidR="00880126" w:rsidRPr="00F91683">
              <w:rPr>
                <w:rFonts w:ascii="Arial" w:hAnsi="Arial" w:cs="Arial"/>
              </w:rPr>
              <w:t xml:space="preserve"> are subject to annual review</w:t>
            </w:r>
            <w:r w:rsidRPr="00F91683">
              <w:rPr>
                <w:rFonts w:ascii="Arial" w:hAnsi="Arial" w:cs="Arial"/>
              </w:rPr>
              <w:t>s</w:t>
            </w:r>
            <w:r w:rsidR="00880126" w:rsidRPr="00F91683">
              <w:rPr>
                <w:rFonts w:ascii="Arial" w:hAnsi="Arial" w:cs="Arial"/>
              </w:rPr>
              <w:t>.</w:t>
            </w:r>
          </w:p>
          <w:p w14:paraId="19ABE1BB" w14:textId="30A92E9F" w:rsidR="00880126" w:rsidRPr="00F91683" w:rsidRDefault="00880126" w:rsidP="00880126">
            <w:pPr>
              <w:pStyle w:val="CommentText"/>
              <w:spacing w:before="120"/>
              <w:rPr>
                <w:rFonts w:ascii="Arial" w:hAnsi="Arial" w:cs="Arial"/>
                <w:sz w:val="22"/>
                <w:szCs w:val="22"/>
              </w:rPr>
            </w:pPr>
            <w:r w:rsidRPr="00F91683">
              <w:rPr>
                <w:rFonts w:ascii="Arial" w:hAnsi="Arial" w:cs="Arial"/>
                <w:sz w:val="22"/>
                <w:szCs w:val="22"/>
              </w:rPr>
              <w:t xml:space="preserve">The parties involved in developing EHC Plans process personal data to </w:t>
            </w:r>
            <w:r w:rsidRPr="0049226C">
              <w:rPr>
                <w:rStyle w:val="IntenseEmphasis"/>
                <w:rFonts w:ascii="Arial" w:hAnsi="Arial" w:cs="Arial"/>
                <w:color w:val="auto"/>
                <w:sz w:val="22"/>
                <w:szCs w:val="22"/>
              </w:rPr>
              <w:t xml:space="preserve">enable their completion (and review) in compliance with the structure of EHCPs outlined in the </w:t>
            </w:r>
            <w:r w:rsidRPr="00F91683">
              <w:rPr>
                <w:rStyle w:val="IntenseEmphasis"/>
                <w:rFonts w:ascii="Arial" w:hAnsi="Arial" w:cs="Arial"/>
                <w:sz w:val="22"/>
                <w:szCs w:val="22"/>
              </w:rPr>
              <w:t>‘</w:t>
            </w:r>
            <w:hyperlink r:id="rId8" w:history="1">
              <w:r w:rsidRPr="00F91683">
                <w:rPr>
                  <w:rStyle w:val="Hyperlink"/>
                  <w:rFonts w:ascii="Arial" w:hAnsi="Arial" w:cs="Arial"/>
                  <w:color w:val="0070C0"/>
                  <w:sz w:val="22"/>
                  <w:szCs w:val="22"/>
                </w:rPr>
                <w:t>Special Educational Needs and Disability Code of Practice 2014</w:t>
              </w:r>
            </w:hyperlink>
            <w:r w:rsidRPr="00F91683">
              <w:rPr>
                <w:rStyle w:val="IntenseEmphasis"/>
                <w:rFonts w:ascii="Arial" w:hAnsi="Arial" w:cs="Arial"/>
                <w:sz w:val="22"/>
                <w:szCs w:val="22"/>
              </w:rPr>
              <w:t xml:space="preserve"> </w:t>
            </w:r>
          </w:p>
          <w:p w14:paraId="6DB000E1" w14:textId="341F7DA7" w:rsidR="000711C9" w:rsidRPr="0049226C" w:rsidRDefault="000711C9" w:rsidP="00F91683">
            <w:pPr>
              <w:pStyle w:val="NoSpacing"/>
              <w:spacing w:line="257" w:lineRule="auto"/>
              <w:jc w:val="both"/>
              <w:rPr>
                <w:rFonts w:ascii="Arial" w:hAnsi="Arial" w:cs="Arial"/>
                <w:b/>
                <w:bCs/>
                <w:u w:val="single"/>
              </w:rPr>
            </w:pPr>
          </w:p>
          <w:p w14:paraId="04424A2B" w14:textId="5D93E25C" w:rsidR="0015598C" w:rsidRPr="0049226C" w:rsidRDefault="0015598C" w:rsidP="0015598C">
            <w:pPr>
              <w:pStyle w:val="NoSpacing"/>
              <w:spacing w:line="257" w:lineRule="auto"/>
              <w:ind w:left="31"/>
              <w:jc w:val="both"/>
              <w:rPr>
                <w:rFonts w:ascii="Arial" w:hAnsi="Arial" w:cs="Arial"/>
                <w:b/>
                <w:bCs/>
                <w:u w:val="single"/>
              </w:rPr>
            </w:pPr>
            <w:r w:rsidRPr="0049226C">
              <w:rPr>
                <w:rFonts w:ascii="Arial" w:hAnsi="Arial" w:cs="Arial"/>
                <w:b/>
                <w:bCs/>
                <w:u w:val="single"/>
              </w:rPr>
              <w:t>Tribunal ‘Extended Powers of Appeal’</w:t>
            </w:r>
          </w:p>
          <w:p w14:paraId="51594951" w14:textId="4E338132" w:rsidR="00892758" w:rsidRDefault="00892758" w:rsidP="00892758">
            <w:pPr>
              <w:autoSpaceDE w:val="0"/>
              <w:autoSpaceDN w:val="0"/>
              <w:adjustRightInd w:val="0"/>
              <w:rPr>
                <w:rFonts w:ascii="Arial" w:hAnsi="Arial" w:cs="Arial"/>
                <w:color w:val="000000"/>
                <w:sz w:val="23"/>
                <w:szCs w:val="23"/>
              </w:rPr>
            </w:pPr>
            <w:r>
              <w:rPr>
                <w:rFonts w:ascii="Arial" w:hAnsi="Arial" w:cs="Arial"/>
                <w:color w:val="000000"/>
                <w:sz w:val="23"/>
                <w:szCs w:val="23"/>
              </w:rPr>
              <w:t>‘</w:t>
            </w:r>
            <w:r w:rsidRPr="00892758">
              <w:rPr>
                <w:rFonts w:ascii="Arial" w:hAnsi="Arial" w:cs="Arial"/>
                <w:color w:val="000000"/>
                <w:sz w:val="23"/>
                <w:szCs w:val="23"/>
              </w:rPr>
              <w:t>Special Educational Needs and Disability</w:t>
            </w:r>
            <w:r w:rsidR="00634EEB">
              <w:rPr>
                <w:rFonts w:ascii="Arial" w:hAnsi="Arial" w:cs="Arial"/>
                <w:color w:val="000000"/>
                <w:sz w:val="23"/>
                <w:szCs w:val="23"/>
              </w:rPr>
              <w:t xml:space="preserve">’ </w:t>
            </w:r>
            <w:r w:rsidR="00213522">
              <w:rPr>
                <w:rFonts w:ascii="Arial" w:hAnsi="Arial" w:cs="Arial"/>
                <w:color w:val="000000"/>
                <w:sz w:val="23"/>
                <w:szCs w:val="23"/>
              </w:rPr>
              <w:t xml:space="preserve">National </w:t>
            </w:r>
            <w:r w:rsidRPr="00892758">
              <w:rPr>
                <w:rFonts w:ascii="Arial" w:hAnsi="Arial" w:cs="Arial"/>
                <w:color w:val="000000"/>
                <w:sz w:val="23"/>
                <w:szCs w:val="23"/>
              </w:rPr>
              <w:t>First-tier Tribunal Recommendations Power</w:t>
            </w:r>
            <w:r w:rsidR="00634EEB">
              <w:rPr>
                <w:rFonts w:ascii="Arial" w:hAnsi="Arial" w:cs="Arial"/>
                <w:color w:val="000000"/>
                <w:sz w:val="23"/>
                <w:szCs w:val="23"/>
              </w:rPr>
              <w:t>, (2017</w:t>
            </w:r>
            <w:r w:rsidRPr="00892758">
              <w:rPr>
                <w:rFonts w:ascii="Arial" w:hAnsi="Arial" w:cs="Arial"/>
                <w:color w:val="000000"/>
                <w:sz w:val="23"/>
                <w:szCs w:val="23"/>
              </w:rPr>
              <w:t>)</w:t>
            </w:r>
            <w:r w:rsidR="00F00DFD">
              <w:rPr>
                <w:rFonts w:ascii="Arial" w:hAnsi="Arial" w:cs="Arial"/>
                <w:color w:val="000000"/>
                <w:sz w:val="23"/>
                <w:szCs w:val="23"/>
              </w:rPr>
              <w:t xml:space="preserve">’ </w:t>
            </w:r>
            <w:r w:rsidR="00F00DFD" w:rsidRPr="00892758">
              <w:rPr>
                <w:rFonts w:ascii="Arial" w:hAnsi="Arial" w:cs="Arial"/>
                <w:color w:val="000000"/>
                <w:sz w:val="23"/>
                <w:szCs w:val="23"/>
              </w:rPr>
              <w:t>These</w:t>
            </w:r>
            <w:r w:rsidRPr="00892758">
              <w:rPr>
                <w:rFonts w:ascii="Arial" w:hAnsi="Arial" w:cs="Arial"/>
                <w:color w:val="000000"/>
                <w:sz w:val="23"/>
                <w:szCs w:val="23"/>
              </w:rPr>
              <w:t xml:space="preserve"> sit alongside the Tribunal Procedure (First-tier Tribunal) (Health, Education and Social Care Chamber) Rules 2008 (the ‘Tribunal Procedure Rules’).</w:t>
            </w:r>
          </w:p>
          <w:p w14:paraId="62430D04" w14:textId="77777777" w:rsidR="00634EEB" w:rsidRDefault="00634EEB" w:rsidP="00892758">
            <w:pPr>
              <w:autoSpaceDE w:val="0"/>
              <w:autoSpaceDN w:val="0"/>
              <w:adjustRightInd w:val="0"/>
              <w:rPr>
                <w:rFonts w:ascii="Arial" w:hAnsi="Arial" w:cs="Arial"/>
                <w:color w:val="000000"/>
                <w:sz w:val="23"/>
                <w:szCs w:val="23"/>
              </w:rPr>
            </w:pPr>
          </w:p>
          <w:p w14:paraId="0DCB8738" w14:textId="5631A16F" w:rsidR="00892758" w:rsidRPr="0049226C" w:rsidRDefault="00634EEB" w:rsidP="00892758">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In 2018, these Tribunal Powers were extended to include Health and Social care. </w:t>
            </w:r>
          </w:p>
          <w:p w14:paraId="4CC6DEC4" w14:textId="782E6EED" w:rsidR="00892758" w:rsidRPr="00892758" w:rsidRDefault="00892758" w:rsidP="0049226C">
            <w:pPr>
              <w:autoSpaceDE w:val="0"/>
              <w:autoSpaceDN w:val="0"/>
              <w:adjustRightInd w:val="0"/>
              <w:spacing w:after="104"/>
              <w:rPr>
                <w:rFonts w:ascii="Arial" w:hAnsi="Arial" w:cs="Arial"/>
                <w:color w:val="000000"/>
                <w:sz w:val="23"/>
                <w:szCs w:val="23"/>
              </w:rPr>
            </w:pPr>
            <w:r w:rsidRPr="00892758">
              <w:rPr>
                <w:rFonts w:ascii="Arial" w:hAnsi="Arial" w:cs="Arial"/>
                <w:color w:val="000000"/>
                <w:sz w:val="23"/>
                <w:szCs w:val="23"/>
              </w:rPr>
              <w:lastRenderedPageBreak/>
              <w:t xml:space="preserve">Health and LA social care commissioners </w:t>
            </w:r>
            <w:r w:rsidRPr="00892758">
              <w:rPr>
                <w:rFonts w:ascii="Arial" w:hAnsi="Arial" w:cs="Arial"/>
                <w:b/>
                <w:bCs/>
                <w:color w:val="000000"/>
                <w:sz w:val="23"/>
                <w:szCs w:val="23"/>
              </w:rPr>
              <w:t xml:space="preserve">must </w:t>
            </w:r>
            <w:r w:rsidRPr="00892758">
              <w:rPr>
                <w:rFonts w:ascii="Arial" w:hAnsi="Arial" w:cs="Arial"/>
                <w:color w:val="000000"/>
                <w:sz w:val="23"/>
                <w:szCs w:val="23"/>
              </w:rPr>
              <w:t xml:space="preserve">respond to any request for information and evidence from the Tribunal </w:t>
            </w:r>
          </w:p>
          <w:p w14:paraId="0D5FBA44" w14:textId="062FA185" w:rsidR="0015598C" w:rsidRDefault="0015598C" w:rsidP="0015598C">
            <w:pPr>
              <w:pStyle w:val="NoSpacing"/>
              <w:spacing w:line="257" w:lineRule="auto"/>
              <w:ind w:left="31"/>
              <w:jc w:val="both"/>
              <w:rPr>
                <w:rFonts w:ascii="Arial" w:hAnsi="Arial" w:cs="Arial"/>
              </w:rPr>
            </w:pPr>
          </w:p>
          <w:p w14:paraId="6C5431F9" w14:textId="6B0BE7C4" w:rsidR="000711C9" w:rsidRPr="00F91683" w:rsidRDefault="000711C9" w:rsidP="00F91683">
            <w:pPr>
              <w:pStyle w:val="NoSpacing"/>
              <w:spacing w:line="257" w:lineRule="auto"/>
              <w:jc w:val="both"/>
              <w:rPr>
                <w:rFonts w:ascii="Arial" w:hAnsi="Arial" w:cs="Arial"/>
              </w:rPr>
            </w:pPr>
          </w:p>
          <w:p w14:paraId="52BA43FC" w14:textId="77777777" w:rsidR="00880126" w:rsidRPr="00F91683" w:rsidRDefault="00880126" w:rsidP="00880126">
            <w:pPr>
              <w:pStyle w:val="ListParagraph"/>
              <w:spacing w:line="257" w:lineRule="auto"/>
              <w:ind w:left="1307" w:hanging="1307"/>
              <w:contextualSpacing w:val="0"/>
              <w:rPr>
                <w:rFonts w:ascii="Arial" w:hAnsi="Arial" w:cs="Arial"/>
                <w:b/>
              </w:rPr>
            </w:pPr>
            <w:r w:rsidRPr="00F91683">
              <w:rPr>
                <w:rFonts w:ascii="Arial" w:hAnsi="Arial" w:cs="Arial"/>
                <w:b/>
              </w:rPr>
              <w:t>Children under compulsory school age</w:t>
            </w:r>
          </w:p>
          <w:p w14:paraId="5CBC353D" w14:textId="4A2B3DD8" w:rsidR="00880126" w:rsidRDefault="00880126" w:rsidP="00013AE1">
            <w:pPr>
              <w:spacing w:after="120" w:line="257" w:lineRule="auto"/>
              <w:ind w:left="31" w:hanging="31"/>
              <w:rPr>
                <w:rFonts w:ascii="Arial" w:hAnsi="Arial" w:cs="Arial"/>
              </w:rPr>
            </w:pPr>
            <w:r w:rsidRPr="00F91683">
              <w:rPr>
                <w:rFonts w:ascii="Arial" w:hAnsi="Arial" w:cs="Arial"/>
              </w:rPr>
              <w:t>For children who are under compulsory school age, the legal basis for sharing information between the Parties has been identified as:</w:t>
            </w:r>
            <w:r w:rsidR="00013AE1" w:rsidRPr="00F91683">
              <w:rPr>
                <w:rFonts w:ascii="Arial" w:hAnsi="Arial" w:cs="Arial"/>
              </w:rPr>
              <w:t xml:space="preserve"> </w:t>
            </w:r>
            <w:r w:rsidRPr="00F91683">
              <w:rPr>
                <w:rFonts w:ascii="Arial" w:hAnsi="Arial" w:cs="Arial"/>
              </w:rPr>
              <w:t xml:space="preserve">Under </w:t>
            </w:r>
            <w:r w:rsidR="00013AE1">
              <w:rPr>
                <w:rFonts w:ascii="Arial" w:hAnsi="Arial" w:cs="Arial"/>
              </w:rPr>
              <w:t>section</w:t>
            </w:r>
            <w:r w:rsidRPr="00F91683">
              <w:rPr>
                <w:rFonts w:ascii="Arial" w:hAnsi="Arial" w:cs="Arial"/>
              </w:rPr>
              <w:t xml:space="preserve"> 23 </w:t>
            </w:r>
            <w:r w:rsidR="00013AE1">
              <w:rPr>
                <w:rFonts w:ascii="Arial" w:hAnsi="Arial" w:cs="Arial"/>
              </w:rPr>
              <w:t xml:space="preserve">of the </w:t>
            </w:r>
            <w:r w:rsidRPr="00F91683">
              <w:rPr>
                <w:rFonts w:ascii="Arial" w:hAnsi="Arial" w:cs="Arial"/>
              </w:rPr>
              <w:t>Children and Families Act 2014,</w:t>
            </w:r>
            <w:r w:rsidR="00013AE1">
              <w:rPr>
                <w:rFonts w:ascii="Arial" w:hAnsi="Arial" w:cs="Arial"/>
              </w:rPr>
              <w:t xml:space="preserve"> whereby,</w:t>
            </w:r>
            <w:r w:rsidRPr="00F91683">
              <w:rPr>
                <w:rFonts w:ascii="Arial" w:hAnsi="Arial" w:cs="Arial"/>
              </w:rPr>
              <w:t xml:space="preserve"> </w:t>
            </w:r>
            <w:r w:rsidR="00013AE1" w:rsidRPr="00F91683">
              <w:rPr>
                <w:rFonts w:ascii="Arial" w:hAnsi="Arial" w:cs="Arial"/>
              </w:rPr>
              <w:t>the Integrated care Board</w:t>
            </w:r>
            <w:r w:rsidRPr="00F91683">
              <w:rPr>
                <w:rFonts w:ascii="Arial" w:hAnsi="Arial" w:cs="Arial"/>
              </w:rPr>
              <w:t xml:space="preserve">, NHS trust or NHS foundation trust form the opinion that the child has (or probably has) special educational needs or a disability, they </w:t>
            </w:r>
            <w:r w:rsidRPr="00F91683">
              <w:rPr>
                <w:rFonts w:ascii="Arial" w:hAnsi="Arial" w:cs="Arial"/>
                <w:b/>
                <w:bCs/>
              </w:rPr>
              <w:t>must</w:t>
            </w:r>
            <w:r w:rsidRPr="00F91683">
              <w:rPr>
                <w:rFonts w:ascii="Arial" w:hAnsi="Arial" w:cs="Arial"/>
              </w:rPr>
              <w:t xml:space="preserve"> bring their opinion to the attention of the appropriate local authority. </w:t>
            </w:r>
          </w:p>
          <w:p w14:paraId="77F0607C" w14:textId="5BB25DCC" w:rsidR="0015598C" w:rsidRDefault="0015598C" w:rsidP="00013AE1">
            <w:pPr>
              <w:spacing w:after="120" w:line="257" w:lineRule="auto"/>
              <w:ind w:left="31" w:hanging="31"/>
              <w:rPr>
                <w:rFonts w:ascii="Arial" w:hAnsi="Arial" w:cs="Arial"/>
              </w:rPr>
            </w:pPr>
          </w:p>
          <w:p w14:paraId="64C5328C" w14:textId="41C96557" w:rsidR="0015598C" w:rsidRPr="00F91683" w:rsidRDefault="0015598C" w:rsidP="00F91683">
            <w:pPr>
              <w:spacing w:after="120" w:line="257" w:lineRule="auto"/>
              <w:rPr>
                <w:rFonts w:ascii="Arial" w:hAnsi="Arial" w:cs="Arial"/>
                <w:b/>
                <w:bCs/>
              </w:rPr>
            </w:pPr>
            <w:r w:rsidRPr="00F91683">
              <w:rPr>
                <w:rFonts w:ascii="Arial" w:hAnsi="Arial" w:cs="Arial"/>
                <w:b/>
                <w:bCs/>
              </w:rPr>
              <w:t xml:space="preserve">Health provision and commissioning arrangements </w:t>
            </w:r>
          </w:p>
          <w:p w14:paraId="244BAB47" w14:textId="77777777" w:rsidR="0015598C" w:rsidRPr="00F91683" w:rsidRDefault="00880126" w:rsidP="00880126">
            <w:pPr>
              <w:pStyle w:val="Default"/>
              <w:spacing w:after="120" w:line="257" w:lineRule="auto"/>
              <w:ind w:left="28"/>
              <w:jc w:val="both"/>
              <w:rPr>
                <w:rFonts w:ascii="Arial" w:hAnsi="Arial" w:cs="Arial"/>
                <w:color w:val="auto"/>
                <w:sz w:val="22"/>
                <w:szCs w:val="22"/>
              </w:rPr>
            </w:pPr>
            <w:r w:rsidRPr="00F91683">
              <w:rPr>
                <w:rFonts w:ascii="Arial" w:hAnsi="Arial" w:cs="Arial"/>
                <w:color w:val="auto"/>
                <w:sz w:val="22"/>
                <w:szCs w:val="22"/>
              </w:rPr>
              <w:t xml:space="preserve">Furthermore, part 3 of the Childrens and Families Act 2014 places a duty on Local Authorities and Health bodies to work collaboratively with a view to making sure that services work together where this promotes </w:t>
            </w:r>
            <w:r w:rsidR="0015598C" w:rsidRPr="00F91683">
              <w:rPr>
                <w:rFonts w:ascii="Arial" w:hAnsi="Arial" w:cs="Arial"/>
                <w:color w:val="auto"/>
                <w:sz w:val="22"/>
                <w:szCs w:val="22"/>
              </w:rPr>
              <w:t>CYP</w:t>
            </w:r>
            <w:r w:rsidRPr="00F91683">
              <w:rPr>
                <w:rFonts w:ascii="Arial" w:hAnsi="Arial" w:cs="Arial"/>
                <w:color w:val="auto"/>
                <w:sz w:val="22"/>
                <w:szCs w:val="22"/>
              </w:rPr>
              <w:t xml:space="preserve"> wellbeing or improves the quality of special educational provision (Section 25 of the Children and Families Act 2014). </w:t>
            </w:r>
          </w:p>
          <w:p w14:paraId="573066A0" w14:textId="65CC47C5" w:rsidR="00880126" w:rsidRPr="0033215F" w:rsidRDefault="00880126" w:rsidP="0033215F">
            <w:pPr>
              <w:pStyle w:val="Default"/>
              <w:spacing w:after="120" w:line="257" w:lineRule="auto"/>
              <w:ind w:left="28"/>
              <w:jc w:val="both"/>
              <w:rPr>
                <w:rFonts w:ascii="Arial" w:hAnsi="Arial" w:cs="Arial"/>
                <w:color w:val="auto"/>
                <w:sz w:val="22"/>
                <w:szCs w:val="22"/>
              </w:rPr>
            </w:pPr>
            <w:r w:rsidRPr="00F91683">
              <w:rPr>
                <w:rFonts w:ascii="Arial" w:hAnsi="Arial" w:cs="Arial"/>
                <w:color w:val="auto"/>
                <w:sz w:val="22"/>
                <w:szCs w:val="22"/>
              </w:rPr>
              <w:t>S</w:t>
            </w:r>
            <w:r w:rsidR="0015598C" w:rsidRPr="00F91683">
              <w:rPr>
                <w:rFonts w:ascii="Arial" w:hAnsi="Arial" w:cs="Arial"/>
                <w:color w:val="auto"/>
                <w:sz w:val="22"/>
                <w:szCs w:val="22"/>
              </w:rPr>
              <w:t xml:space="preserve">ection </w:t>
            </w:r>
            <w:r w:rsidRPr="00F91683">
              <w:rPr>
                <w:rFonts w:ascii="Arial" w:hAnsi="Arial" w:cs="Arial"/>
                <w:color w:val="auto"/>
                <w:sz w:val="22"/>
                <w:szCs w:val="22"/>
              </w:rPr>
              <w:t>28 of the Children and Families Act</w:t>
            </w:r>
            <w:r w:rsidR="0015598C" w:rsidRPr="00F91683">
              <w:rPr>
                <w:rFonts w:ascii="Arial" w:hAnsi="Arial" w:cs="Arial"/>
                <w:color w:val="auto"/>
                <w:sz w:val="22"/>
                <w:szCs w:val="22"/>
              </w:rPr>
              <w:t>,</w:t>
            </w:r>
            <w:r w:rsidRPr="00F91683">
              <w:rPr>
                <w:rFonts w:ascii="Arial" w:hAnsi="Arial" w:cs="Arial"/>
                <w:color w:val="auto"/>
                <w:sz w:val="22"/>
                <w:szCs w:val="22"/>
              </w:rPr>
              <w:t xml:space="preserve"> 2014 requires the local authorities to co-operate with local partners including </w:t>
            </w:r>
            <w:r w:rsidR="0015598C" w:rsidRPr="00F91683">
              <w:rPr>
                <w:rFonts w:ascii="Arial" w:hAnsi="Arial" w:cs="Arial"/>
                <w:color w:val="auto"/>
                <w:sz w:val="22"/>
                <w:szCs w:val="22"/>
              </w:rPr>
              <w:t>ICB</w:t>
            </w:r>
            <w:r w:rsidRPr="00F91683">
              <w:rPr>
                <w:rFonts w:ascii="Arial" w:hAnsi="Arial" w:cs="Arial"/>
                <w:color w:val="auto"/>
                <w:sz w:val="22"/>
                <w:szCs w:val="22"/>
              </w:rPr>
              <w:t>, NHS Trusts and NHS Foundation Trusts to exercise the local authority functions under this Part.</w:t>
            </w:r>
          </w:p>
        </w:tc>
      </w:tr>
      <w:tr w:rsidR="007E4B96" w14:paraId="10D265B4" w14:textId="77777777" w:rsidTr="0033215F">
        <w:tc>
          <w:tcPr>
            <w:tcW w:w="2481" w:type="dxa"/>
          </w:tcPr>
          <w:p w14:paraId="3A9FA1FB" w14:textId="77777777" w:rsidR="007E4B96" w:rsidRPr="00DA3EDA" w:rsidRDefault="00B0208A">
            <w:pPr>
              <w:rPr>
                <w:rFonts w:ascii="Arial" w:hAnsi="Arial" w:cs="Arial"/>
                <w:b/>
              </w:rPr>
            </w:pPr>
            <w:r w:rsidRPr="00DA3EDA">
              <w:rPr>
                <w:rFonts w:ascii="Arial" w:hAnsi="Arial" w:cs="Arial"/>
                <w:b/>
              </w:rPr>
              <w:lastRenderedPageBreak/>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535" w:type="dxa"/>
          </w:tcPr>
          <w:p w14:paraId="5E58D439" w14:textId="205CDD67" w:rsidR="00ED6288" w:rsidRPr="00576AFD" w:rsidRDefault="00576AFD" w:rsidP="00576AFD">
            <w:pPr>
              <w:rPr>
                <w:rFonts w:ascii="Arial" w:hAnsi="Arial" w:cs="Arial"/>
              </w:rPr>
            </w:pPr>
            <w:r w:rsidRPr="00576AFD">
              <w:rPr>
                <w:rFonts w:ascii="Arial" w:hAnsi="Arial" w:cs="Arial"/>
              </w:rPr>
              <w:t>Personal Data (such as name, address, date of birth) and Special Category (health information</w:t>
            </w:r>
            <w:r w:rsidR="007F5A34">
              <w:rPr>
                <w:rFonts w:ascii="Arial" w:hAnsi="Arial" w:cs="Arial"/>
              </w:rPr>
              <w:t>, racial or ethnic origin</w:t>
            </w:r>
            <w:r w:rsidRPr="00576AFD">
              <w:rPr>
                <w:rFonts w:ascii="Arial" w:hAnsi="Arial" w:cs="Arial"/>
              </w:rPr>
              <w:t>)</w:t>
            </w:r>
          </w:p>
        </w:tc>
      </w:tr>
      <w:tr w:rsidR="006F77D2" w14:paraId="235E5E78" w14:textId="77777777" w:rsidTr="0033215F">
        <w:trPr>
          <w:trHeight w:val="2117"/>
        </w:trPr>
        <w:tc>
          <w:tcPr>
            <w:tcW w:w="2481"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535" w:type="dxa"/>
          </w:tcPr>
          <w:p w14:paraId="2F4B12A6" w14:textId="42B69E11" w:rsidR="000711C9" w:rsidRDefault="00D55647" w:rsidP="00DC0E91">
            <w:pPr>
              <w:spacing w:before="100" w:beforeAutospacing="1" w:after="100" w:afterAutospacing="1"/>
              <w:rPr>
                <w:rFonts w:ascii="Arial" w:eastAsia="Times New Roman" w:hAnsi="Arial" w:cs="Arial"/>
                <w:lang w:val="en" w:eastAsia="en-GB"/>
              </w:rPr>
            </w:pPr>
            <w:r w:rsidRPr="003B290A">
              <w:rPr>
                <w:rFonts w:ascii="Arial" w:eastAsia="Times New Roman" w:hAnsi="Arial" w:cs="Arial"/>
                <w:lang w:val="en" w:eastAsia="en-GB"/>
              </w:rPr>
              <w:t xml:space="preserve">Information </w:t>
            </w:r>
            <w:r>
              <w:rPr>
                <w:rFonts w:ascii="Arial" w:eastAsia="Times New Roman" w:hAnsi="Arial" w:cs="Arial"/>
                <w:lang w:val="en" w:eastAsia="en-GB"/>
              </w:rPr>
              <w:t xml:space="preserve">is provided by the Local Authority </w:t>
            </w:r>
            <w:r w:rsidR="0017275A">
              <w:rPr>
                <w:rFonts w:ascii="Arial" w:eastAsia="Times New Roman" w:hAnsi="Arial" w:cs="Arial"/>
                <w:lang w:val="en" w:eastAsia="en-GB"/>
              </w:rPr>
              <w:t xml:space="preserve">or </w:t>
            </w:r>
            <w:r w:rsidR="00F00DFD">
              <w:rPr>
                <w:rFonts w:ascii="Arial" w:eastAsia="Times New Roman" w:hAnsi="Arial" w:cs="Arial"/>
                <w:lang w:val="en" w:eastAsia="en-GB"/>
              </w:rPr>
              <w:t>education</w:t>
            </w:r>
            <w:r w:rsidR="0017275A">
              <w:rPr>
                <w:rFonts w:ascii="Arial" w:eastAsia="Times New Roman" w:hAnsi="Arial" w:cs="Arial"/>
                <w:lang w:val="en" w:eastAsia="en-GB"/>
              </w:rPr>
              <w:t xml:space="preserve"> providers </w:t>
            </w:r>
            <w:r>
              <w:rPr>
                <w:rFonts w:ascii="Arial" w:eastAsia="Times New Roman" w:hAnsi="Arial" w:cs="Arial"/>
                <w:lang w:val="en" w:eastAsia="en-GB"/>
              </w:rPr>
              <w:t xml:space="preserve">as part of the process of gathering information to support you/your </w:t>
            </w:r>
            <w:r w:rsidR="0017275A">
              <w:rPr>
                <w:rFonts w:ascii="Arial" w:eastAsia="Times New Roman" w:hAnsi="Arial" w:cs="Arial"/>
                <w:lang w:val="en" w:eastAsia="en-GB"/>
              </w:rPr>
              <w:t>CYP</w:t>
            </w:r>
            <w:r w:rsidR="00634EEB">
              <w:rPr>
                <w:rFonts w:ascii="Arial" w:eastAsia="Times New Roman" w:hAnsi="Arial" w:cs="Arial"/>
                <w:lang w:val="en" w:eastAsia="en-GB"/>
              </w:rPr>
              <w:t xml:space="preserve"> </w:t>
            </w:r>
            <w:r w:rsidR="000711C9">
              <w:rPr>
                <w:rFonts w:ascii="Arial" w:eastAsia="Times New Roman" w:hAnsi="Arial" w:cs="Arial"/>
                <w:lang w:val="en" w:eastAsia="en-GB"/>
              </w:rPr>
              <w:t>E</w:t>
            </w:r>
            <w:r w:rsidR="00906B00">
              <w:rPr>
                <w:rFonts w:ascii="Arial" w:eastAsia="Times New Roman" w:hAnsi="Arial" w:cs="Arial"/>
                <w:lang w:val="en" w:eastAsia="en-GB"/>
              </w:rPr>
              <w:t>HC assessment</w:t>
            </w:r>
            <w:r w:rsidR="0017275A">
              <w:rPr>
                <w:rFonts w:ascii="Arial" w:eastAsia="Times New Roman" w:hAnsi="Arial" w:cs="Arial"/>
                <w:lang w:val="en" w:eastAsia="en-GB"/>
              </w:rPr>
              <w:t xml:space="preserve"> and EHC annual reviews</w:t>
            </w:r>
          </w:p>
          <w:p w14:paraId="18FC2686" w14:textId="77777777" w:rsidR="00020709" w:rsidRDefault="000711C9" w:rsidP="00DC0E91">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 xml:space="preserve">NHS Trust and NHS Foundation Trust </w:t>
            </w:r>
            <w:r w:rsidR="0017275A">
              <w:rPr>
                <w:rFonts w:ascii="Arial" w:eastAsia="Times New Roman" w:hAnsi="Arial" w:cs="Arial"/>
                <w:lang w:val="en" w:eastAsia="en-GB"/>
              </w:rPr>
              <w:t xml:space="preserve">will </w:t>
            </w:r>
            <w:r>
              <w:rPr>
                <w:rFonts w:ascii="Arial" w:eastAsia="Times New Roman" w:hAnsi="Arial" w:cs="Arial"/>
                <w:lang w:val="en" w:eastAsia="en-GB"/>
              </w:rPr>
              <w:t xml:space="preserve">contribute to </w:t>
            </w:r>
            <w:r w:rsidR="0017275A">
              <w:rPr>
                <w:rFonts w:ascii="Arial" w:eastAsia="Times New Roman" w:hAnsi="Arial" w:cs="Arial"/>
                <w:lang w:val="en" w:eastAsia="en-GB"/>
              </w:rPr>
              <w:t xml:space="preserve">your/your CYP </w:t>
            </w:r>
            <w:r>
              <w:rPr>
                <w:rFonts w:ascii="Arial" w:eastAsia="Times New Roman" w:hAnsi="Arial" w:cs="Arial"/>
                <w:lang w:val="en" w:eastAsia="en-GB"/>
              </w:rPr>
              <w:t xml:space="preserve">EHC annual review </w:t>
            </w:r>
          </w:p>
          <w:p w14:paraId="4207A09A" w14:textId="77777777" w:rsidR="0017275A" w:rsidRDefault="0017275A" w:rsidP="0017275A">
            <w:pPr>
              <w:pStyle w:val="CommentText"/>
              <w:spacing w:before="120"/>
              <w:rPr>
                <w:rFonts w:ascii="Arial" w:hAnsi="Arial" w:cs="Arial"/>
                <w:sz w:val="22"/>
                <w:szCs w:val="22"/>
              </w:rPr>
            </w:pPr>
            <w:r>
              <w:rPr>
                <w:rFonts w:ascii="Arial" w:hAnsi="Arial" w:cs="Arial"/>
                <w:sz w:val="22"/>
                <w:szCs w:val="22"/>
              </w:rPr>
              <w:t xml:space="preserve">The local authorities share the information collated as part of the assessment process to panel members to inform their decisions making. </w:t>
            </w:r>
          </w:p>
          <w:p w14:paraId="11B33754" w14:textId="1F0428E4" w:rsidR="0017275A" w:rsidRPr="00B32DF7" w:rsidRDefault="0017275A" w:rsidP="00F91683">
            <w:pPr>
              <w:pStyle w:val="CommentText"/>
              <w:spacing w:before="120"/>
              <w:rPr>
                <w:rFonts w:ascii="Arial" w:eastAsia="Times New Roman" w:hAnsi="Arial" w:cs="Arial"/>
                <w:lang w:val="en" w:eastAsia="en-GB"/>
              </w:rPr>
            </w:pPr>
            <w:r>
              <w:rPr>
                <w:rFonts w:ascii="Arial" w:hAnsi="Arial" w:cs="Arial"/>
                <w:sz w:val="22"/>
                <w:szCs w:val="22"/>
              </w:rPr>
              <w:t>The Designated Clinical Officer team participate in the EHC multiagency assessment needs panel and contribute to the decision making for the issuing of EHC plans.</w:t>
            </w:r>
          </w:p>
        </w:tc>
      </w:tr>
      <w:tr w:rsidR="00DB4F29" w14:paraId="4F07A23C" w14:textId="77777777" w:rsidTr="0033215F">
        <w:tc>
          <w:tcPr>
            <w:tcW w:w="2481" w:type="dxa"/>
          </w:tcPr>
          <w:p w14:paraId="765AE9F9" w14:textId="75FB6477" w:rsidR="00DB4F29" w:rsidRPr="00DA3EDA" w:rsidRDefault="00DB4F29" w:rsidP="005629F6">
            <w:pPr>
              <w:rPr>
                <w:rFonts w:ascii="Arial" w:hAnsi="Arial" w:cs="Arial"/>
                <w:b/>
              </w:rPr>
            </w:pPr>
            <w:r w:rsidRPr="00DA3EDA">
              <w:rPr>
                <w:rFonts w:ascii="Arial" w:hAnsi="Arial" w:cs="Arial"/>
                <w:b/>
              </w:rPr>
              <w:t>Who we will share the information with</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535" w:type="dxa"/>
          </w:tcPr>
          <w:p w14:paraId="47F57971" w14:textId="2A91A51E" w:rsidR="00DB4F29" w:rsidRDefault="0017275A" w:rsidP="00020709">
            <w:pPr>
              <w:rPr>
                <w:rFonts w:ascii="Arial" w:hAnsi="Arial" w:cs="Arial"/>
              </w:rPr>
            </w:pPr>
            <w:r>
              <w:rPr>
                <w:rFonts w:ascii="Arial" w:hAnsi="Arial" w:cs="Arial"/>
              </w:rPr>
              <w:t xml:space="preserve">Information with be shared </w:t>
            </w:r>
            <w:r w:rsidR="00146072" w:rsidRPr="00F91683">
              <w:rPr>
                <w:rFonts w:ascii="Arial" w:hAnsi="Arial" w:cs="Arial"/>
              </w:rPr>
              <w:t>the local authorit</w:t>
            </w:r>
            <w:r>
              <w:rPr>
                <w:rFonts w:ascii="Arial" w:hAnsi="Arial" w:cs="Arial"/>
              </w:rPr>
              <w:t xml:space="preserve">ies </w:t>
            </w:r>
            <w:r w:rsidR="00146072" w:rsidRPr="00F91683">
              <w:rPr>
                <w:rFonts w:ascii="Arial" w:hAnsi="Arial" w:cs="Arial"/>
              </w:rPr>
              <w:t xml:space="preserve">who coordinates the </w:t>
            </w:r>
            <w:r>
              <w:rPr>
                <w:rFonts w:ascii="Arial" w:hAnsi="Arial" w:cs="Arial"/>
              </w:rPr>
              <w:t>EHC assessment and tribunal extended appeals process</w:t>
            </w:r>
          </w:p>
          <w:p w14:paraId="7120A5EC" w14:textId="0C8A4F9D" w:rsidR="0017275A" w:rsidRDefault="0017275A" w:rsidP="00020709">
            <w:pPr>
              <w:rPr>
                <w:rFonts w:ascii="Arial" w:hAnsi="Arial" w:cs="Arial"/>
              </w:rPr>
            </w:pPr>
          </w:p>
          <w:p w14:paraId="311CFDB2" w14:textId="32BBC369" w:rsidR="0017275A" w:rsidRPr="00F91683" w:rsidRDefault="0017275A" w:rsidP="00020709">
            <w:pPr>
              <w:rPr>
                <w:rFonts w:ascii="Arial" w:hAnsi="Arial" w:cs="Arial"/>
              </w:rPr>
            </w:pPr>
            <w:r>
              <w:rPr>
                <w:rFonts w:ascii="Arial" w:hAnsi="Arial" w:cs="Arial"/>
              </w:rPr>
              <w:t>Section 23 Notification will be shared with the local authority early years teams</w:t>
            </w:r>
          </w:p>
          <w:p w14:paraId="1C44C3FF" w14:textId="77777777" w:rsidR="0017275A" w:rsidRPr="00F91683" w:rsidRDefault="0017275A" w:rsidP="00020709">
            <w:pPr>
              <w:rPr>
                <w:rFonts w:ascii="Arial" w:hAnsi="Arial" w:cs="Arial"/>
              </w:rPr>
            </w:pPr>
          </w:p>
          <w:p w14:paraId="1470E5C7" w14:textId="55C0CC3E" w:rsidR="0017275A" w:rsidRDefault="0017275A" w:rsidP="00020709">
            <w:pPr>
              <w:rPr>
                <w:rFonts w:ascii="Arial" w:hAnsi="Arial" w:cs="Arial"/>
              </w:rPr>
            </w:pPr>
            <w:r w:rsidRPr="00F91683">
              <w:rPr>
                <w:rFonts w:ascii="Arial" w:hAnsi="Arial" w:cs="Arial"/>
              </w:rPr>
              <w:t xml:space="preserve">Information will be shared with local authorities and ICB, health commissioners and NHS Trust and NHS Foundation Trust when </w:t>
            </w:r>
            <w:r w:rsidRPr="00E80E26">
              <w:rPr>
                <w:rFonts w:ascii="Arial" w:hAnsi="Arial" w:cs="Arial"/>
              </w:rPr>
              <w:lastRenderedPageBreak/>
              <w:t xml:space="preserve">to work collaboratively </w:t>
            </w:r>
            <w:r w:rsidRPr="00726FDA">
              <w:rPr>
                <w:rFonts w:ascii="Arial" w:hAnsi="Arial" w:cs="Arial"/>
              </w:rPr>
              <w:t>to ensure approp</w:t>
            </w:r>
            <w:r w:rsidRPr="00F91683">
              <w:rPr>
                <w:rFonts w:ascii="Arial" w:hAnsi="Arial" w:cs="Arial"/>
              </w:rPr>
              <w:t xml:space="preserve">riate provision is in place to meet your CYP </w:t>
            </w:r>
            <w:r w:rsidR="00E80E26" w:rsidRPr="00F91683">
              <w:rPr>
                <w:rFonts w:ascii="Arial" w:hAnsi="Arial" w:cs="Arial"/>
              </w:rPr>
              <w:t>SEND or complex health needs and</w:t>
            </w:r>
            <w:r w:rsidRPr="00F91683">
              <w:rPr>
                <w:rFonts w:ascii="Arial" w:hAnsi="Arial" w:cs="Arial"/>
              </w:rPr>
              <w:t xml:space="preserve"> improve</w:t>
            </w:r>
            <w:r w:rsidR="00E80E26" w:rsidRPr="00F91683">
              <w:rPr>
                <w:rFonts w:ascii="Arial" w:hAnsi="Arial" w:cs="Arial"/>
              </w:rPr>
              <w:t xml:space="preserve"> outcomes</w:t>
            </w:r>
            <w:r w:rsidR="00E80E26">
              <w:rPr>
                <w:rFonts w:ascii="Arial" w:hAnsi="Arial" w:cs="Arial"/>
              </w:rPr>
              <w:t xml:space="preserve"> </w:t>
            </w:r>
          </w:p>
          <w:p w14:paraId="08C2043E" w14:textId="77777777" w:rsidR="00892758" w:rsidRDefault="00892758" w:rsidP="00020709">
            <w:pPr>
              <w:rPr>
                <w:rFonts w:ascii="Arial" w:hAnsi="Arial" w:cs="Arial"/>
              </w:rPr>
            </w:pPr>
          </w:p>
          <w:p w14:paraId="33B4EBCA" w14:textId="0A65DE3A" w:rsidR="00892758" w:rsidRDefault="00892758" w:rsidP="00020709">
            <w:pPr>
              <w:rPr>
                <w:rFonts w:ascii="Arial" w:hAnsi="Arial" w:cs="Arial"/>
              </w:rPr>
            </w:pPr>
            <w:r w:rsidRPr="0049226C">
              <w:rPr>
                <w:rFonts w:ascii="Arial" w:hAnsi="Arial" w:cs="Arial"/>
              </w:rPr>
              <w:t xml:space="preserve">Information will be shared with Local authorities to support the </w:t>
            </w:r>
            <w:r w:rsidR="008F6A96">
              <w:rPr>
                <w:rFonts w:ascii="Arial" w:hAnsi="Arial" w:cs="Arial"/>
              </w:rPr>
              <w:t>response</w:t>
            </w:r>
            <w:r w:rsidR="008F6A96" w:rsidRPr="0049226C">
              <w:rPr>
                <w:rFonts w:ascii="Arial" w:hAnsi="Arial" w:cs="Arial"/>
              </w:rPr>
              <w:t xml:space="preserve"> </w:t>
            </w:r>
            <w:r w:rsidRPr="0049226C">
              <w:rPr>
                <w:rFonts w:ascii="Arial" w:hAnsi="Arial" w:cs="Arial"/>
              </w:rPr>
              <w:t xml:space="preserve">for First Tier Tribunal and Extended </w:t>
            </w:r>
            <w:r w:rsidR="008F6A96">
              <w:rPr>
                <w:rFonts w:ascii="Arial" w:hAnsi="Arial" w:cs="Arial"/>
              </w:rPr>
              <w:t xml:space="preserve">Powers of </w:t>
            </w:r>
            <w:r w:rsidRPr="0049226C">
              <w:rPr>
                <w:rFonts w:ascii="Arial" w:hAnsi="Arial" w:cs="Arial"/>
              </w:rPr>
              <w:t>Appeals</w:t>
            </w:r>
            <w:r w:rsidR="00FC1F46">
              <w:rPr>
                <w:rFonts w:ascii="Arial" w:hAnsi="Arial" w:cs="Arial"/>
              </w:rPr>
              <w:t>.</w:t>
            </w:r>
          </w:p>
          <w:p w14:paraId="5B0BBDBF" w14:textId="77777777" w:rsidR="00FC1F46" w:rsidRDefault="00FC1F46" w:rsidP="00020709">
            <w:pPr>
              <w:rPr>
                <w:rFonts w:ascii="Arial" w:hAnsi="Arial" w:cs="Arial"/>
              </w:rPr>
            </w:pPr>
          </w:p>
          <w:p w14:paraId="6401135F" w14:textId="68568332" w:rsidR="00FC1F46" w:rsidRPr="00431C28" w:rsidRDefault="00FC1F46" w:rsidP="00020709">
            <w:pPr>
              <w:rPr>
                <w:rFonts w:ascii="Arial" w:hAnsi="Arial" w:cs="Arial"/>
                <w:color w:val="FF0000"/>
              </w:rPr>
            </w:pPr>
            <w:r>
              <w:rPr>
                <w:rFonts w:ascii="Arial" w:hAnsi="Arial" w:cs="Arial"/>
              </w:rPr>
              <w:t xml:space="preserve">Information may be shared with members of </w:t>
            </w:r>
            <w:r w:rsidR="00B52CCF">
              <w:rPr>
                <w:rFonts w:ascii="Arial" w:hAnsi="Arial" w:cs="Arial"/>
              </w:rPr>
              <w:t>the</w:t>
            </w:r>
            <w:r>
              <w:rPr>
                <w:rFonts w:ascii="Arial" w:hAnsi="Arial" w:cs="Arial"/>
              </w:rPr>
              <w:t xml:space="preserve"> </w:t>
            </w:r>
            <w:r w:rsidR="00280F16">
              <w:rPr>
                <w:rFonts w:ascii="Arial" w:hAnsi="Arial" w:cs="Arial"/>
              </w:rPr>
              <w:t xml:space="preserve">local areas </w:t>
            </w:r>
            <w:r w:rsidR="00280F16" w:rsidRPr="00431C28">
              <w:rPr>
                <w:rFonts w:ascii="Arial" w:hAnsi="Arial" w:cs="Arial"/>
              </w:rPr>
              <w:t xml:space="preserve">SEND Partnership </w:t>
            </w:r>
            <w:r>
              <w:rPr>
                <w:rFonts w:ascii="Arial" w:hAnsi="Arial" w:cs="Arial"/>
              </w:rPr>
              <w:t xml:space="preserve">Improvement Group (PAIG), which includes external partners such as headteachers, education provides, and parent carer forum representatives. This is necessary to </w:t>
            </w:r>
            <w:r w:rsidR="00280F16">
              <w:rPr>
                <w:rFonts w:ascii="Arial" w:hAnsi="Arial" w:cs="Arial"/>
              </w:rPr>
              <w:t xml:space="preserve">seek assurance and </w:t>
            </w:r>
            <w:r>
              <w:rPr>
                <w:rFonts w:ascii="Arial" w:hAnsi="Arial" w:cs="Arial"/>
              </w:rPr>
              <w:t xml:space="preserve">support multi-agency decision making </w:t>
            </w:r>
            <w:r w:rsidR="00280F16">
              <w:rPr>
                <w:rFonts w:ascii="Arial" w:hAnsi="Arial" w:cs="Arial"/>
              </w:rPr>
              <w:t>for</w:t>
            </w:r>
            <w:r>
              <w:rPr>
                <w:rFonts w:ascii="Arial" w:hAnsi="Arial" w:cs="Arial"/>
              </w:rPr>
              <w:t xml:space="preserve"> improv</w:t>
            </w:r>
            <w:r w:rsidR="00280F16">
              <w:rPr>
                <w:rFonts w:ascii="Arial" w:hAnsi="Arial" w:cs="Arial"/>
              </w:rPr>
              <w:t xml:space="preserve">ing outcomes </w:t>
            </w:r>
            <w:r>
              <w:rPr>
                <w:rFonts w:ascii="Arial" w:hAnsi="Arial" w:cs="Arial"/>
              </w:rPr>
              <w:t>for children and young people with SEND.</w:t>
            </w:r>
          </w:p>
          <w:p w14:paraId="04225332" w14:textId="33DE5844" w:rsidR="0033215F" w:rsidRDefault="0033215F" w:rsidP="00020709">
            <w:pPr>
              <w:rPr>
                <w:rFonts w:ascii="Arial" w:hAnsi="Arial" w:cs="Arial"/>
              </w:rPr>
            </w:pPr>
          </w:p>
          <w:p w14:paraId="13E073BF" w14:textId="77777777" w:rsidR="0033215F" w:rsidRDefault="0033215F" w:rsidP="0033215F">
            <w:pPr>
              <w:spacing w:line="257" w:lineRule="auto"/>
              <w:ind w:left="31"/>
              <w:rPr>
                <w:rFonts w:ascii="Arial" w:hAnsi="Arial" w:cs="Arial"/>
                <w:b/>
                <w:sz w:val="24"/>
                <w:szCs w:val="24"/>
              </w:rPr>
            </w:pPr>
            <w:r w:rsidRPr="0033215F">
              <w:rPr>
                <w:rFonts w:ascii="Arial" w:hAnsi="Arial" w:cs="Arial"/>
              </w:rPr>
              <w:t>The parent/carer with parental responsibility for the child/young person that requires an EHCP, or, if appropriate, the child/young person requiring the EHCP will be advised of the reasons for the proposed share of information</w:t>
            </w:r>
            <w:r w:rsidRPr="00A17E64">
              <w:rPr>
                <w:rFonts w:ascii="Arial" w:hAnsi="Arial" w:cs="Arial"/>
                <w:sz w:val="24"/>
                <w:szCs w:val="24"/>
              </w:rPr>
              <w:t>.</w:t>
            </w:r>
            <w:r w:rsidRPr="00A17E64">
              <w:rPr>
                <w:rFonts w:ascii="Arial" w:hAnsi="Arial" w:cs="Arial"/>
                <w:b/>
                <w:sz w:val="24"/>
                <w:szCs w:val="24"/>
              </w:rPr>
              <w:t xml:space="preserve"> </w:t>
            </w:r>
          </w:p>
          <w:p w14:paraId="2A6DBD65" w14:textId="428998BA" w:rsidR="00892758" w:rsidRPr="00F91683" w:rsidRDefault="00892758" w:rsidP="00020709">
            <w:pPr>
              <w:rPr>
                <w:rFonts w:ascii="Arial" w:hAnsi="Arial" w:cs="Arial"/>
                <w:sz w:val="24"/>
                <w:szCs w:val="24"/>
              </w:rPr>
            </w:pPr>
          </w:p>
        </w:tc>
      </w:tr>
      <w:tr w:rsidR="00DB4F29" w14:paraId="5573FBEF" w14:textId="77777777" w:rsidTr="00431C28">
        <w:trPr>
          <w:trHeight w:val="699"/>
        </w:trPr>
        <w:tc>
          <w:tcPr>
            <w:tcW w:w="2481" w:type="dxa"/>
          </w:tcPr>
          <w:p w14:paraId="72E7A9C4" w14:textId="369E07A7" w:rsidR="00DB4F29" w:rsidRPr="00DA3EDA" w:rsidRDefault="00DB4F29">
            <w:pPr>
              <w:rPr>
                <w:rFonts w:ascii="Arial" w:hAnsi="Arial" w:cs="Arial"/>
                <w:b/>
              </w:rPr>
            </w:pPr>
            <w:r>
              <w:rPr>
                <w:rFonts w:ascii="Arial" w:hAnsi="Arial" w:cs="Arial"/>
                <w:b/>
              </w:rPr>
              <w:lastRenderedPageBreak/>
              <w:t>Legal Basis for Processing Personal Data</w:t>
            </w:r>
          </w:p>
        </w:tc>
        <w:tc>
          <w:tcPr>
            <w:tcW w:w="6535" w:type="dxa"/>
          </w:tcPr>
          <w:p w14:paraId="7807A4F7" w14:textId="77777777" w:rsidR="00DE6FE8" w:rsidRDefault="00DE6FE8" w:rsidP="00DE6FE8">
            <w:pPr>
              <w:rPr>
                <w:rFonts w:ascii="Arial" w:hAnsi="Arial" w:cs="Arial"/>
                <w:b/>
                <w:lang w:val="en-US"/>
              </w:rPr>
            </w:pPr>
          </w:p>
          <w:p w14:paraId="6A68E30D" w14:textId="27620FDF" w:rsidR="00DE6FE8" w:rsidRDefault="00DE6FE8" w:rsidP="00DE6FE8">
            <w:pPr>
              <w:rPr>
                <w:rFonts w:ascii="Arial" w:hAnsi="Arial" w:cs="Arial"/>
                <w:lang w:val="en-US"/>
              </w:rPr>
            </w:pPr>
            <w:r>
              <w:rPr>
                <w:rFonts w:ascii="Arial" w:hAnsi="Arial" w:cs="Arial"/>
                <w:b/>
                <w:lang w:val="en-US"/>
              </w:rPr>
              <w:t xml:space="preserve">6(1)(c) </w:t>
            </w:r>
            <w:r>
              <w:rPr>
                <w:rFonts w:ascii="Arial" w:hAnsi="Arial" w:cs="Arial"/>
                <w:lang w:val="en-US"/>
              </w:rPr>
              <w:t>processing is necessary for compliance with a legal obligation to which the controller is subject.</w:t>
            </w:r>
          </w:p>
          <w:p w14:paraId="6DE1CE48" w14:textId="77777777" w:rsidR="00062466" w:rsidRDefault="00062466" w:rsidP="00174788">
            <w:pPr>
              <w:rPr>
                <w:rFonts w:ascii="Arial" w:hAnsi="Arial" w:cs="Arial"/>
                <w:lang w:val="en"/>
              </w:rPr>
            </w:pPr>
          </w:p>
          <w:p w14:paraId="3E972C4B" w14:textId="180AB581" w:rsidR="00174788" w:rsidRDefault="00174788" w:rsidP="00174788">
            <w:pPr>
              <w:rPr>
                <w:rFonts w:ascii="Arial" w:hAnsi="Arial" w:cs="Arial"/>
                <w:lang w:val="en"/>
              </w:rPr>
            </w:pPr>
            <w:r>
              <w:rPr>
                <w:rFonts w:ascii="Arial" w:hAnsi="Arial" w:cs="Arial"/>
                <w:lang w:val="en"/>
              </w:rPr>
              <w:t>Children and Families Act (2014) and SEND Code of Practice (2015)</w:t>
            </w:r>
          </w:p>
          <w:p w14:paraId="411CCB34" w14:textId="77777777" w:rsidR="00146072" w:rsidRPr="00F91683" w:rsidRDefault="00146072" w:rsidP="00F91683">
            <w:pPr>
              <w:jc w:val="both"/>
              <w:rPr>
                <w:rFonts w:ascii="Arial" w:hAnsi="Arial" w:cs="Arial"/>
                <w:bCs/>
                <w:color w:val="000000" w:themeColor="text1"/>
              </w:rPr>
            </w:pPr>
            <w:r w:rsidRPr="00F91683">
              <w:rPr>
                <w:rFonts w:ascii="Arial" w:hAnsi="Arial" w:cs="Arial"/>
                <w:bCs/>
                <w:color w:val="000000" w:themeColor="text1"/>
              </w:rPr>
              <w:t>Special Educational Needs and Disability Regulations 2014</w:t>
            </w:r>
          </w:p>
          <w:p w14:paraId="08AC70FF" w14:textId="77777777" w:rsidR="00146072" w:rsidRPr="0015598C" w:rsidRDefault="00146072" w:rsidP="00F91683">
            <w:pPr>
              <w:jc w:val="both"/>
              <w:rPr>
                <w:rStyle w:val="normaltextrun"/>
                <w:rFonts w:ascii="Arial" w:hAnsi="Arial" w:cs="Arial"/>
                <w:color w:val="000000" w:themeColor="text1"/>
              </w:rPr>
            </w:pPr>
            <w:r w:rsidRPr="00F91683">
              <w:rPr>
                <w:rFonts w:ascii="Arial" w:hAnsi="Arial" w:cs="Arial"/>
                <w:bCs/>
                <w:color w:val="000000" w:themeColor="text1"/>
              </w:rPr>
              <w:t>Special Ed</w:t>
            </w:r>
            <w:r w:rsidRPr="0015598C">
              <w:rPr>
                <w:rStyle w:val="normaltextrun"/>
                <w:rFonts w:ascii="Arial" w:hAnsi="Arial" w:cs="Arial"/>
                <w:bCs/>
                <w:color w:val="000000"/>
                <w:shd w:val="clear" w:color="auto" w:fill="FFFFFF"/>
              </w:rPr>
              <w:t>ucational</w:t>
            </w:r>
            <w:r w:rsidRPr="0015598C">
              <w:rPr>
                <w:rStyle w:val="normaltextrun"/>
                <w:rFonts w:ascii="Arial" w:hAnsi="Arial" w:cs="Arial"/>
                <w:color w:val="000000"/>
                <w:shd w:val="clear" w:color="auto" w:fill="FFFFFF"/>
              </w:rPr>
              <w:t> Needs and Disability Needs (Personal Budgets) Regulations 2014</w:t>
            </w:r>
          </w:p>
          <w:p w14:paraId="5A7797B7" w14:textId="77777777" w:rsidR="00146072" w:rsidRPr="00726FDA" w:rsidRDefault="00146072" w:rsidP="00F91683">
            <w:pPr>
              <w:jc w:val="both"/>
              <w:rPr>
                <w:rStyle w:val="eop"/>
                <w:rFonts w:ascii="Arial" w:hAnsi="Arial" w:cs="Arial"/>
                <w:color w:val="000000" w:themeColor="text1"/>
              </w:rPr>
            </w:pPr>
            <w:r w:rsidRPr="0015598C">
              <w:rPr>
                <w:rStyle w:val="normaltextrun"/>
                <w:rFonts w:ascii="Arial" w:hAnsi="Arial" w:cs="Arial"/>
                <w:color w:val="000000"/>
                <w:shd w:val="clear" w:color="auto" w:fill="FFFFFF"/>
              </w:rPr>
              <w:t>Special Educational Needs and Disability (Detained Persons) Regulations 2015</w:t>
            </w:r>
            <w:r w:rsidRPr="0017275A">
              <w:rPr>
                <w:rStyle w:val="eop"/>
                <w:rFonts w:ascii="Arial" w:hAnsi="Arial" w:cs="Arial"/>
                <w:color w:val="000000"/>
                <w:shd w:val="clear" w:color="auto" w:fill="FFFFFF"/>
              </w:rPr>
              <w:t> </w:t>
            </w:r>
          </w:p>
          <w:p w14:paraId="39042059" w14:textId="77777777" w:rsidR="00146072" w:rsidRPr="00F91683" w:rsidRDefault="00146072" w:rsidP="00F91683">
            <w:pPr>
              <w:jc w:val="both"/>
              <w:rPr>
                <w:rFonts w:ascii="Arial" w:hAnsi="Arial" w:cs="Arial"/>
                <w:color w:val="000000" w:themeColor="text1"/>
              </w:rPr>
            </w:pPr>
            <w:r w:rsidRPr="00F91683">
              <w:rPr>
                <w:rStyle w:val="normaltextrun"/>
                <w:rFonts w:ascii="Arial" w:hAnsi="Arial" w:cs="Arial"/>
                <w:color w:val="000000"/>
                <w:shd w:val="clear" w:color="auto" w:fill="FFFFFF"/>
              </w:rPr>
              <w:t>Childrens and Families Act 2014 (Transitional and Savings Provisions) (2) Order 2014</w:t>
            </w:r>
            <w:r w:rsidRPr="00F91683">
              <w:rPr>
                <w:rStyle w:val="eop"/>
                <w:rFonts w:ascii="Arial" w:hAnsi="Arial" w:cs="Arial"/>
                <w:color w:val="000000"/>
                <w:shd w:val="clear" w:color="auto" w:fill="FFFFFF"/>
              </w:rPr>
              <w:t> </w:t>
            </w:r>
          </w:p>
          <w:p w14:paraId="472FE4EA" w14:textId="213A218E" w:rsidR="00174788" w:rsidRDefault="008F6A96" w:rsidP="00DE6FE8">
            <w:pPr>
              <w:rPr>
                <w:rFonts w:ascii="Arial" w:hAnsi="Arial" w:cs="Arial"/>
              </w:rPr>
            </w:pPr>
            <w:r w:rsidRPr="0058582B">
              <w:rPr>
                <w:rFonts w:ascii="Arial" w:hAnsi="Arial" w:cs="Arial"/>
              </w:rPr>
              <w:t>The Tribunal Procedure (First-tier Tribunal) (Health, Education and Social Care Chamber) Rules 200</w:t>
            </w:r>
          </w:p>
          <w:p w14:paraId="2CACE63B" w14:textId="0D0087C0" w:rsidR="008F6A96" w:rsidRPr="008F6A96" w:rsidRDefault="008F6A96" w:rsidP="00DE6FE8">
            <w:pPr>
              <w:rPr>
                <w:rFonts w:ascii="Arial" w:hAnsi="Arial" w:cs="Arial"/>
                <w:lang w:val="en"/>
              </w:rPr>
            </w:pPr>
            <w:r w:rsidRPr="00892758">
              <w:rPr>
                <w:rFonts w:ascii="Arial" w:hAnsi="Arial" w:cs="Arial"/>
                <w:color w:val="000000"/>
                <w:sz w:val="23"/>
                <w:szCs w:val="23"/>
              </w:rPr>
              <w:t>Special Educational Needs and Disability</w:t>
            </w:r>
            <w:r>
              <w:rPr>
                <w:rFonts w:ascii="Arial" w:hAnsi="Arial" w:cs="Arial"/>
                <w:color w:val="000000"/>
                <w:sz w:val="23"/>
                <w:szCs w:val="23"/>
              </w:rPr>
              <w:t xml:space="preserve"> </w:t>
            </w:r>
            <w:r w:rsidRPr="00892758">
              <w:rPr>
                <w:rFonts w:ascii="Arial" w:hAnsi="Arial" w:cs="Arial"/>
                <w:color w:val="000000"/>
                <w:sz w:val="23"/>
                <w:szCs w:val="23"/>
              </w:rPr>
              <w:t>First-tier Tribunal Recommendations Power</w:t>
            </w:r>
            <w:r>
              <w:rPr>
                <w:rFonts w:ascii="Arial" w:hAnsi="Arial" w:cs="Arial"/>
                <w:color w:val="000000"/>
                <w:sz w:val="23"/>
                <w:szCs w:val="23"/>
              </w:rPr>
              <w:t xml:space="preserve"> 2017</w:t>
            </w:r>
          </w:p>
          <w:p w14:paraId="7589EDA1" w14:textId="77777777" w:rsidR="00174788" w:rsidRDefault="00174788" w:rsidP="00DE6FE8">
            <w:pPr>
              <w:rPr>
                <w:rFonts w:ascii="Arial" w:hAnsi="Arial" w:cs="Arial"/>
                <w:lang w:val="en"/>
              </w:rPr>
            </w:pPr>
          </w:p>
          <w:p w14:paraId="2E1AAD14" w14:textId="77777777" w:rsidR="00DE6FE8" w:rsidRPr="00DE6FE8" w:rsidRDefault="00DE6FE8" w:rsidP="00DE6FE8">
            <w:pPr>
              <w:rPr>
                <w:rFonts w:ascii="Arial" w:hAnsi="Arial" w:cs="Arial"/>
                <w:lang w:val="en-US"/>
              </w:rPr>
            </w:pPr>
            <w:r w:rsidRPr="00DE6FE8">
              <w:rPr>
                <w:rFonts w:ascii="Arial" w:hAnsi="Arial" w:cs="Arial"/>
                <w:b/>
                <w:lang w:val="en-US"/>
              </w:rPr>
              <w:t xml:space="preserve">6(1)(e) </w:t>
            </w:r>
            <w:r w:rsidRPr="00DE6FE8">
              <w:rPr>
                <w:rFonts w:ascii="Arial" w:hAnsi="Arial" w:cs="Arial"/>
                <w:lang w:val="en-US"/>
              </w:rPr>
              <w:t>processing is necessary for the performance of a task carried out in the public interest or in the exercise of official authority vested in the controller.</w:t>
            </w:r>
          </w:p>
          <w:p w14:paraId="77B26035" w14:textId="77777777" w:rsidR="00992CF4" w:rsidRDefault="00992CF4" w:rsidP="00DE6FE8">
            <w:pPr>
              <w:rPr>
                <w:rFonts w:ascii="Arial" w:hAnsi="Arial" w:cs="Arial"/>
                <w:b/>
                <w:bCs/>
                <w:lang w:val="en"/>
              </w:rPr>
            </w:pPr>
          </w:p>
          <w:p w14:paraId="4C0FDD45" w14:textId="0F66D97E" w:rsidR="00DE6FE8" w:rsidRPr="00DE6FE8" w:rsidRDefault="00DE6FE8" w:rsidP="00DE6FE8">
            <w:pPr>
              <w:rPr>
                <w:rFonts w:ascii="Arial" w:hAnsi="Arial" w:cs="Arial"/>
                <w:b/>
                <w:bCs/>
                <w:lang w:val="en"/>
              </w:rPr>
            </w:pPr>
            <w:r w:rsidRPr="00DE6FE8">
              <w:rPr>
                <w:rFonts w:ascii="Arial" w:hAnsi="Arial" w:cs="Arial"/>
                <w:b/>
                <w:bCs/>
                <w:lang w:val="en"/>
              </w:rPr>
              <w:t>Processing of Special Categories of Data</w:t>
            </w:r>
          </w:p>
          <w:p w14:paraId="7C777F98" w14:textId="77777777" w:rsidR="00992CF4" w:rsidRDefault="00992CF4" w:rsidP="00DE6FE8">
            <w:pPr>
              <w:rPr>
                <w:rFonts w:ascii="Arial" w:hAnsi="Arial" w:cs="Arial"/>
              </w:rPr>
            </w:pPr>
          </w:p>
          <w:p w14:paraId="694B4968" w14:textId="77777777" w:rsidR="00C84114" w:rsidRPr="00711CA8" w:rsidRDefault="00C84114" w:rsidP="00C84114">
            <w:pPr>
              <w:spacing w:before="100" w:beforeAutospacing="1" w:after="100" w:afterAutospacing="1"/>
              <w:outlineLvl w:val="2"/>
              <w:rPr>
                <w:rFonts w:ascii="Arial" w:eastAsia="Times New Roman" w:hAnsi="Arial" w:cs="Arial"/>
                <w:b/>
                <w:color w:val="0000FF" w:themeColor="hyperlink"/>
                <w:u w:val="single"/>
                <w:lang w:val="en-US" w:eastAsia="en-GB"/>
              </w:rPr>
            </w:pPr>
            <w:r w:rsidRPr="00711CA8">
              <w:rPr>
                <w:rFonts w:ascii="Arial" w:eastAsia="Times New Roman" w:hAnsi="Arial" w:cs="Arial"/>
                <w:b/>
                <w:lang w:val="en-US" w:eastAsia="en-GB"/>
              </w:rPr>
              <w:t>9(2)(h)</w:t>
            </w:r>
            <w:r w:rsidRPr="00C44A0F">
              <w:rPr>
                <w:rFonts w:ascii="Arial" w:eastAsia="Times New Roman" w:hAnsi="Arial" w:cs="Arial"/>
                <w:bCs/>
                <w:lang w:val="en-US" w:eastAsia="en-GB"/>
              </w:rPr>
              <w:t xml:space="preserve">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452B95C0" w:rsidR="00F606CF" w:rsidRPr="004A05CD" w:rsidRDefault="00C84114" w:rsidP="00C84114">
            <w:pPr>
              <w:rPr>
                <w:rFonts w:ascii="Arial" w:hAnsi="Arial" w:cs="Arial"/>
              </w:rPr>
            </w:pPr>
            <w:r>
              <w:rPr>
                <w:rFonts w:ascii="Arial" w:hAnsi="Arial" w:cs="Arial"/>
              </w:rPr>
              <w:lastRenderedPageBreak/>
              <w:t>Schedule 1 part 1 (2) of the DPA 2018 ‘Health or Social Care purposes’.</w:t>
            </w:r>
          </w:p>
        </w:tc>
      </w:tr>
      <w:tr w:rsidR="00975D3C" w14:paraId="2B488352" w14:textId="77777777" w:rsidTr="004A05CD">
        <w:trPr>
          <w:trHeight w:val="824"/>
        </w:trPr>
        <w:tc>
          <w:tcPr>
            <w:tcW w:w="2481" w:type="dxa"/>
          </w:tcPr>
          <w:p w14:paraId="5D94D850"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535" w:type="dxa"/>
          </w:tcPr>
          <w:p w14:paraId="323B62C2" w14:textId="503814F2" w:rsidR="00146072" w:rsidRPr="002669A3" w:rsidRDefault="00204029" w:rsidP="004A05CD">
            <w:pPr>
              <w:spacing w:line="257" w:lineRule="auto"/>
              <w:rPr>
                <w:rFonts w:ascii="Arial" w:hAnsi="Arial" w:cs="Arial"/>
              </w:rPr>
            </w:pPr>
            <w:r w:rsidRPr="002669A3">
              <w:rPr>
                <w:rFonts w:ascii="Arial" w:hAnsi="Arial" w:cs="Arial"/>
              </w:rPr>
              <w:t xml:space="preserve">Consent will not be sought as the ICB has </w:t>
            </w:r>
            <w:r w:rsidR="00CA5AEE" w:rsidRPr="002669A3">
              <w:rPr>
                <w:rFonts w:ascii="Arial" w:hAnsi="Arial" w:cs="Arial"/>
              </w:rPr>
              <w:t xml:space="preserve">a duty to </w:t>
            </w:r>
            <w:r w:rsidRPr="002669A3">
              <w:rPr>
                <w:rFonts w:ascii="Arial" w:hAnsi="Arial" w:cs="Arial"/>
              </w:rPr>
              <w:t>share information as set out in legislation.</w:t>
            </w:r>
          </w:p>
        </w:tc>
      </w:tr>
      <w:tr w:rsidR="00DB4F29" w14:paraId="2612E712" w14:textId="77777777" w:rsidTr="002669A3">
        <w:tc>
          <w:tcPr>
            <w:tcW w:w="2481"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535" w:type="dxa"/>
            <w:vAlign w:val="center"/>
          </w:tcPr>
          <w:p w14:paraId="1554D73D" w14:textId="3D1181D8" w:rsidR="002669A3" w:rsidRPr="002669A3" w:rsidRDefault="002669A3" w:rsidP="000364D3">
            <w:pPr>
              <w:rPr>
                <w:rFonts w:ascii="Arial" w:hAnsi="Arial" w:cs="Arial"/>
              </w:rPr>
            </w:pPr>
            <w:r w:rsidRPr="002669A3">
              <w:rPr>
                <w:rFonts w:ascii="Arial" w:hAnsi="Arial" w:cs="Arial"/>
              </w:rPr>
              <w:t>The ICB does not use any data processors.</w:t>
            </w:r>
          </w:p>
          <w:p w14:paraId="545D9B12" w14:textId="0B3D61EA" w:rsidR="00892758" w:rsidRPr="002669A3" w:rsidRDefault="00892758" w:rsidP="000364D3">
            <w:pPr>
              <w:rPr>
                <w:rFonts w:ascii="Arial" w:hAnsi="Arial" w:cs="Arial"/>
              </w:rPr>
            </w:pPr>
          </w:p>
        </w:tc>
      </w:tr>
      <w:tr w:rsidR="00DB4F29" w14:paraId="218BFA80" w14:textId="77777777" w:rsidTr="004A05CD">
        <w:tc>
          <w:tcPr>
            <w:tcW w:w="2481" w:type="dxa"/>
          </w:tcPr>
          <w:p w14:paraId="3E3755BC" w14:textId="77777777" w:rsidR="00DB4F29" w:rsidRPr="00D24605" w:rsidRDefault="00DB4F29">
            <w:pPr>
              <w:rPr>
                <w:rFonts w:ascii="Arial" w:eastAsia="Times New Roman" w:hAnsi="Arial" w:cs="Arial"/>
                <w:b/>
                <w:bCs/>
                <w:color w:val="231F20"/>
                <w:lang w:eastAsia="en-GB"/>
              </w:rPr>
            </w:pPr>
            <w:r w:rsidRPr="00D24605">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535" w:type="dxa"/>
          </w:tcPr>
          <w:p w14:paraId="55B8947B"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xml:space="preserve">To be informed about the processing of your information (this </w:t>
            </w:r>
          </w:p>
          <w:p w14:paraId="25251DE4"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notice)</w:t>
            </w:r>
          </w:p>
          <w:p w14:paraId="1BF86C67"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Of access to information held about you</w:t>
            </w:r>
          </w:p>
          <w:p w14:paraId="24636437"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xml:space="preserve">• Have the information corrected </w:t>
            </w:r>
            <w:proofErr w:type="gramStart"/>
            <w:r w:rsidRPr="00525B5D">
              <w:rPr>
                <w:rFonts w:ascii="Arial" w:eastAsia="Times New Roman" w:hAnsi="Arial" w:cs="Arial"/>
                <w:color w:val="231F20"/>
                <w:lang w:eastAsia="en-GB"/>
              </w:rPr>
              <w:t>in the event that</w:t>
            </w:r>
            <w:proofErr w:type="gramEnd"/>
            <w:r w:rsidRPr="00525B5D">
              <w:rPr>
                <w:rFonts w:ascii="Arial" w:eastAsia="Times New Roman" w:hAnsi="Arial" w:cs="Arial"/>
                <w:color w:val="231F20"/>
                <w:lang w:eastAsia="en-GB"/>
              </w:rPr>
              <w:t xml:space="preserve"> it is </w:t>
            </w:r>
          </w:p>
          <w:p w14:paraId="14085FAF"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inaccurate</w:t>
            </w:r>
          </w:p>
          <w:p w14:paraId="204B7DEA"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To restrict or stop processing</w:t>
            </w:r>
          </w:p>
          <w:p w14:paraId="0B2A3C79" w14:textId="77777777" w:rsidR="004A05CD" w:rsidRPr="00525B5D"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Object to it being processed or used</w:t>
            </w:r>
            <w:r>
              <w:rPr>
                <w:rFonts w:ascii="Arial" w:eastAsia="Times New Roman" w:hAnsi="Arial" w:cs="Arial"/>
                <w:color w:val="231F20"/>
                <w:lang w:eastAsia="en-GB"/>
              </w:rPr>
              <w:t xml:space="preserve"> (where we are relying on public task as the legal basis)</w:t>
            </w:r>
          </w:p>
          <w:p w14:paraId="30289FEC" w14:textId="6E5EA5DA" w:rsidR="00DB4F29" w:rsidRPr="00AD4CAF" w:rsidRDefault="004A05CD" w:rsidP="004A05CD">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Not to be subject automated decision-taking or profiling</w:t>
            </w:r>
          </w:p>
        </w:tc>
      </w:tr>
      <w:tr w:rsidR="00DB4F29" w14:paraId="562F6B8A" w14:textId="77777777" w:rsidTr="004A05CD">
        <w:tc>
          <w:tcPr>
            <w:tcW w:w="2481"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535" w:type="dxa"/>
          </w:tcPr>
          <w:p w14:paraId="133A451B" w14:textId="1419D0D9"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sidR="0058582B">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088D8BA8" w14:textId="77777777" w:rsidR="00C44A0F" w:rsidRDefault="00431C28" w:rsidP="00D508CB">
            <w:pPr>
              <w:spacing w:before="100" w:beforeAutospacing="1" w:after="100" w:afterAutospacing="1"/>
              <w:rPr>
                <w:rFonts w:ascii="Arial" w:eastAsia="Times New Roman" w:hAnsi="Arial" w:cs="Arial"/>
                <w:lang w:val="en" w:eastAsia="en-GB"/>
              </w:rPr>
            </w:pPr>
            <w:hyperlink r:id="rId10" w:history="1">
              <w:r w:rsidR="00D508CB" w:rsidRPr="00291A82">
                <w:rPr>
                  <w:rFonts w:ascii="Arial" w:hAnsi="Arial" w:cs="Arial"/>
                  <w:color w:val="0000FF"/>
                  <w:u w:val="single"/>
                </w:rPr>
                <w:t>Records Management Code of Practice - NHS Transformation Directorate (nhsx.nhs.uk)</w:t>
              </w:r>
            </w:hyperlink>
          </w:p>
          <w:p w14:paraId="05603073" w14:textId="2B7A7DD6" w:rsidR="00F13DDC" w:rsidRPr="00CB3444" w:rsidRDefault="002669A3" w:rsidP="00D508CB">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 xml:space="preserve">Information </w:t>
            </w:r>
            <w:r w:rsidR="00F72F50">
              <w:rPr>
                <w:rFonts w:ascii="Arial" w:eastAsia="Times New Roman" w:hAnsi="Arial" w:cs="Arial"/>
                <w:lang w:val="en" w:eastAsia="en-GB"/>
              </w:rPr>
              <w:t>is retained until completion of the panel process.</w:t>
            </w:r>
          </w:p>
        </w:tc>
      </w:tr>
    </w:tbl>
    <w:p w14:paraId="743D7D13" w14:textId="02B3D4E4" w:rsidR="007E4B96" w:rsidRPr="007E4B96" w:rsidRDefault="007E4B96">
      <w:pPr>
        <w:rPr>
          <w:sz w:val="28"/>
          <w:szCs w:val="28"/>
        </w:rPr>
      </w:pPr>
    </w:p>
    <w:sectPr w:rsidR="007E4B96" w:rsidRPr="007E4B96" w:rsidSect="00F1565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32AB" w14:textId="77777777" w:rsidR="00BA4992" w:rsidRDefault="00BA4992" w:rsidP="007E4B96">
      <w:pPr>
        <w:spacing w:after="0" w:line="240" w:lineRule="auto"/>
      </w:pPr>
      <w:r>
        <w:separator/>
      </w:r>
    </w:p>
  </w:endnote>
  <w:endnote w:type="continuationSeparator" w:id="0">
    <w:p w14:paraId="57B4B8B9" w14:textId="77777777" w:rsidR="00BA4992" w:rsidRDefault="00BA4992"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BAF1" w14:textId="28C2B21F" w:rsidR="009A1670" w:rsidRPr="00F15657" w:rsidRDefault="0058582B" w:rsidP="009A1670">
    <w:pPr>
      <w:pStyle w:val="Footer"/>
      <w:rPr>
        <w:rFonts w:ascii="Arial" w:hAnsi="Arial" w:cs="Arial"/>
        <w:sz w:val="16"/>
        <w:szCs w:val="16"/>
      </w:rPr>
    </w:pPr>
    <w:r>
      <w:rPr>
        <w:rFonts w:ascii="Arial" w:hAnsi="Arial" w:cs="Arial"/>
        <w:sz w:val="16"/>
        <w:szCs w:val="16"/>
      </w:rPr>
      <w:t>January 2025</w:t>
    </w:r>
    <w:r w:rsidR="009A1670" w:rsidRPr="00F15657">
      <w:rPr>
        <w:rFonts w:ascii="Arial" w:hAnsi="Arial" w:cs="Arial"/>
        <w:sz w:val="16"/>
        <w:szCs w:val="16"/>
      </w:rPr>
      <w:t>- V</w:t>
    </w:r>
    <w:r>
      <w:rPr>
        <w:rFonts w:ascii="Arial" w:hAnsi="Arial" w:cs="Arial"/>
        <w:sz w:val="16"/>
        <w:szCs w:val="16"/>
      </w:rPr>
      <w:t>2</w:t>
    </w:r>
    <w:r w:rsidR="009A1670">
      <w:rPr>
        <w:rFonts w:ascii="Arial" w:hAnsi="Arial" w:cs="Arial"/>
        <w:sz w:val="16"/>
        <w:szCs w:val="16"/>
      </w:rPr>
      <w:t>.0 Final</w:t>
    </w:r>
  </w:p>
  <w:p w14:paraId="6AF2AD79" w14:textId="3DBF8F35" w:rsidR="00F15657" w:rsidRPr="009A1670" w:rsidRDefault="00F15657" w:rsidP="009A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387B12FC" w:rsidR="00F15657" w:rsidRPr="00F15657" w:rsidRDefault="0058582B">
    <w:pPr>
      <w:pStyle w:val="Footer"/>
      <w:rPr>
        <w:rFonts w:ascii="Arial" w:hAnsi="Arial" w:cs="Arial"/>
        <w:sz w:val="16"/>
        <w:szCs w:val="16"/>
      </w:rPr>
    </w:pPr>
    <w:r>
      <w:rPr>
        <w:rFonts w:ascii="Arial" w:hAnsi="Arial" w:cs="Arial"/>
        <w:sz w:val="16"/>
        <w:szCs w:val="16"/>
      </w:rPr>
      <w:t>January 2025</w:t>
    </w:r>
    <w:r w:rsidR="00F15657" w:rsidRPr="00F15657">
      <w:rPr>
        <w:rFonts w:ascii="Arial" w:hAnsi="Arial" w:cs="Arial"/>
        <w:sz w:val="16"/>
        <w:szCs w:val="16"/>
      </w:rPr>
      <w:t>- V</w:t>
    </w:r>
    <w:r>
      <w:rPr>
        <w:rFonts w:ascii="Arial" w:hAnsi="Arial" w:cs="Arial"/>
        <w:sz w:val="16"/>
        <w:szCs w:val="16"/>
      </w:rPr>
      <w:t>2</w:t>
    </w:r>
    <w:r w:rsidR="009A1670">
      <w:rPr>
        <w:rFonts w:ascii="Arial" w:hAnsi="Arial" w:cs="Arial"/>
        <w:sz w:val="16"/>
        <w:szCs w:val="16"/>
      </w:rPr>
      <w:t>.0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2ECB" w14:textId="77777777" w:rsidR="00BA4992" w:rsidRDefault="00BA4992" w:rsidP="007E4B96">
      <w:pPr>
        <w:spacing w:after="0" w:line="240" w:lineRule="auto"/>
      </w:pPr>
      <w:r>
        <w:separator/>
      </w:r>
    </w:p>
  </w:footnote>
  <w:footnote w:type="continuationSeparator" w:id="0">
    <w:p w14:paraId="11952732" w14:textId="77777777" w:rsidR="00BA4992" w:rsidRDefault="00BA4992"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359"/>
    <w:multiLevelType w:val="multilevel"/>
    <w:tmpl w:val="D2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13E23"/>
    <w:multiLevelType w:val="multilevel"/>
    <w:tmpl w:val="2550B81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B04DB"/>
    <w:multiLevelType w:val="hybridMultilevel"/>
    <w:tmpl w:val="CBAA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87FEF"/>
    <w:multiLevelType w:val="hybridMultilevel"/>
    <w:tmpl w:val="A74A3D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2C782D1B"/>
    <w:multiLevelType w:val="hybridMultilevel"/>
    <w:tmpl w:val="83106B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FF0330"/>
    <w:multiLevelType w:val="multilevel"/>
    <w:tmpl w:val="2550B81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6396">
    <w:abstractNumId w:val="4"/>
  </w:num>
  <w:num w:numId="2" w16cid:durableId="676930267">
    <w:abstractNumId w:val="0"/>
  </w:num>
  <w:num w:numId="3" w16cid:durableId="358942251">
    <w:abstractNumId w:val="1"/>
  </w:num>
  <w:num w:numId="4" w16cid:durableId="1880119403">
    <w:abstractNumId w:val="5"/>
  </w:num>
  <w:num w:numId="5" w16cid:durableId="1962569582">
    <w:abstractNumId w:val="9"/>
  </w:num>
  <w:num w:numId="6" w16cid:durableId="1957175252">
    <w:abstractNumId w:val="2"/>
  </w:num>
  <w:num w:numId="7" w16cid:durableId="1629628033">
    <w:abstractNumId w:val="3"/>
  </w:num>
  <w:num w:numId="8" w16cid:durableId="843785012">
    <w:abstractNumId w:val="7"/>
  </w:num>
  <w:num w:numId="9" w16cid:durableId="2105107592">
    <w:abstractNumId w:val="6"/>
  </w:num>
  <w:num w:numId="10" w16cid:durableId="1455438706">
    <w:abstractNumId w:val="8"/>
  </w:num>
  <w:num w:numId="11" w16cid:durableId="1940792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1BEC"/>
    <w:rsid w:val="00013AE1"/>
    <w:rsid w:val="00020709"/>
    <w:rsid w:val="000364D3"/>
    <w:rsid w:val="00062466"/>
    <w:rsid w:val="000711C9"/>
    <w:rsid w:val="00082DF2"/>
    <w:rsid w:val="0009583B"/>
    <w:rsid w:val="001354C6"/>
    <w:rsid w:val="00146072"/>
    <w:rsid w:val="00150651"/>
    <w:rsid w:val="0015598C"/>
    <w:rsid w:val="0017275A"/>
    <w:rsid w:val="00174788"/>
    <w:rsid w:val="00204029"/>
    <w:rsid w:val="00213522"/>
    <w:rsid w:val="002669A3"/>
    <w:rsid w:val="00280196"/>
    <w:rsid w:val="00280F16"/>
    <w:rsid w:val="002B5DA5"/>
    <w:rsid w:val="002E55DE"/>
    <w:rsid w:val="002E6FED"/>
    <w:rsid w:val="003076F5"/>
    <w:rsid w:val="0033215F"/>
    <w:rsid w:val="00383C64"/>
    <w:rsid w:val="003C134B"/>
    <w:rsid w:val="003E41A9"/>
    <w:rsid w:val="004218BF"/>
    <w:rsid w:val="0042794F"/>
    <w:rsid w:val="00431C28"/>
    <w:rsid w:val="0044070F"/>
    <w:rsid w:val="004616EE"/>
    <w:rsid w:val="00461F2C"/>
    <w:rsid w:val="00484B65"/>
    <w:rsid w:val="0049226C"/>
    <w:rsid w:val="004A05CD"/>
    <w:rsid w:val="004A5C5C"/>
    <w:rsid w:val="004E53C2"/>
    <w:rsid w:val="004E6525"/>
    <w:rsid w:val="00535947"/>
    <w:rsid w:val="005417C2"/>
    <w:rsid w:val="00576AFD"/>
    <w:rsid w:val="0058582B"/>
    <w:rsid w:val="00596BE1"/>
    <w:rsid w:val="005A2AEF"/>
    <w:rsid w:val="00634EEB"/>
    <w:rsid w:val="006661B3"/>
    <w:rsid w:val="006A470A"/>
    <w:rsid w:val="006B503F"/>
    <w:rsid w:val="006F1071"/>
    <w:rsid w:val="006F77D2"/>
    <w:rsid w:val="00703E92"/>
    <w:rsid w:val="00726FDA"/>
    <w:rsid w:val="007450AC"/>
    <w:rsid w:val="00753837"/>
    <w:rsid w:val="0075433B"/>
    <w:rsid w:val="007565D7"/>
    <w:rsid w:val="007E4B96"/>
    <w:rsid w:val="007F0AAD"/>
    <w:rsid w:val="007F5A34"/>
    <w:rsid w:val="008626B3"/>
    <w:rsid w:val="00875BF3"/>
    <w:rsid w:val="00880126"/>
    <w:rsid w:val="00892758"/>
    <w:rsid w:val="008E47E6"/>
    <w:rsid w:val="008F6A96"/>
    <w:rsid w:val="00906B00"/>
    <w:rsid w:val="009613B8"/>
    <w:rsid w:val="00975D3C"/>
    <w:rsid w:val="00981E00"/>
    <w:rsid w:val="00991C38"/>
    <w:rsid w:val="00992CF4"/>
    <w:rsid w:val="009A1670"/>
    <w:rsid w:val="009A6470"/>
    <w:rsid w:val="009F33FF"/>
    <w:rsid w:val="009F771E"/>
    <w:rsid w:val="00A353CD"/>
    <w:rsid w:val="00A37673"/>
    <w:rsid w:val="00A4290D"/>
    <w:rsid w:val="00A67D4C"/>
    <w:rsid w:val="00A715B5"/>
    <w:rsid w:val="00AA119A"/>
    <w:rsid w:val="00AD4CAF"/>
    <w:rsid w:val="00B0208A"/>
    <w:rsid w:val="00B106EF"/>
    <w:rsid w:val="00B32DF7"/>
    <w:rsid w:val="00B52CCF"/>
    <w:rsid w:val="00B847E8"/>
    <w:rsid w:val="00BA4992"/>
    <w:rsid w:val="00BB0443"/>
    <w:rsid w:val="00BB56E7"/>
    <w:rsid w:val="00C31054"/>
    <w:rsid w:val="00C44A0F"/>
    <w:rsid w:val="00C746B1"/>
    <w:rsid w:val="00C84114"/>
    <w:rsid w:val="00CA5AEE"/>
    <w:rsid w:val="00CB3444"/>
    <w:rsid w:val="00CD6BD8"/>
    <w:rsid w:val="00CF3A5B"/>
    <w:rsid w:val="00CF6EAE"/>
    <w:rsid w:val="00CF785B"/>
    <w:rsid w:val="00D07759"/>
    <w:rsid w:val="00D24605"/>
    <w:rsid w:val="00D508CB"/>
    <w:rsid w:val="00D55647"/>
    <w:rsid w:val="00D573BF"/>
    <w:rsid w:val="00D6333E"/>
    <w:rsid w:val="00D8761C"/>
    <w:rsid w:val="00D92C23"/>
    <w:rsid w:val="00DA3EDA"/>
    <w:rsid w:val="00DB0E99"/>
    <w:rsid w:val="00DB4F29"/>
    <w:rsid w:val="00DC0E91"/>
    <w:rsid w:val="00DD50D2"/>
    <w:rsid w:val="00DE5CA8"/>
    <w:rsid w:val="00DE6FE8"/>
    <w:rsid w:val="00E17534"/>
    <w:rsid w:val="00E56992"/>
    <w:rsid w:val="00E80E26"/>
    <w:rsid w:val="00ED6288"/>
    <w:rsid w:val="00EF7CCD"/>
    <w:rsid w:val="00F00DFD"/>
    <w:rsid w:val="00F13DDC"/>
    <w:rsid w:val="00F15657"/>
    <w:rsid w:val="00F606CF"/>
    <w:rsid w:val="00F72F50"/>
    <w:rsid w:val="00F91638"/>
    <w:rsid w:val="00F91683"/>
    <w:rsid w:val="00FB6130"/>
    <w:rsid w:val="00FC1F46"/>
    <w:rsid w:val="00FC20AF"/>
    <w:rsid w:val="00FC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link w:val="ListParagraphChar"/>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80126"/>
  </w:style>
  <w:style w:type="character" w:customStyle="1" w:styleId="eop">
    <w:name w:val="eop"/>
    <w:basedOn w:val="DefaultParagraphFont"/>
    <w:rsid w:val="00880126"/>
  </w:style>
  <w:style w:type="character" w:styleId="IntenseEmphasis">
    <w:name w:val="Intense Emphasis"/>
    <w:basedOn w:val="DefaultParagraphFont"/>
    <w:uiPriority w:val="21"/>
    <w:qFormat/>
    <w:rsid w:val="00880126"/>
    <w:rPr>
      <w:color w:val="4F81BD" w:themeColor="accent1"/>
    </w:rPr>
  </w:style>
  <w:style w:type="paragraph" w:styleId="NoSpacing">
    <w:name w:val="No Spacing"/>
    <w:link w:val="NoSpacingChar"/>
    <w:uiPriority w:val="1"/>
    <w:qFormat/>
    <w:rsid w:val="008801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0126"/>
    <w:rPr>
      <w:rFonts w:eastAsiaTheme="minorEastAsia"/>
      <w:lang w:val="en-US"/>
    </w:rPr>
  </w:style>
  <w:style w:type="character" w:customStyle="1" w:styleId="ListParagraphChar">
    <w:name w:val="List Paragraph Char"/>
    <w:basedOn w:val="DefaultParagraphFont"/>
    <w:link w:val="ListParagraph"/>
    <w:uiPriority w:val="34"/>
    <w:rsid w:val="00880126"/>
  </w:style>
  <w:style w:type="paragraph" w:styleId="Revision">
    <w:name w:val="Revision"/>
    <w:hidden/>
    <w:uiPriority w:val="99"/>
    <w:semiHidden/>
    <w:rsid w:val="00213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347222835">
      <w:bodyDiv w:val="1"/>
      <w:marLeft w:val="0"/>
      <w:marRight w:val="0"/>
      <w:marTop w:val="0"/>
      <w:marBottom w:val="0"/>
      <w:divBdr>
        <w:top w:val="none" w:sz="0" w:space="0" w:color="auto"/>
        <w:left w:val="none" w:sz="0" w:space="0" w:color="auto"/>
        <w:bottom w:val="none" w:sz="0" w:space="0" w:color="auto"/>
        <w:right w:val="none" w:sz="0" w:space="0" w:color="auto"/>
      </w:divBdr>
      <w:divsChild>
        <w:div w:id="1424456576">
          <w:marLeft w:val="0"/>
          <w:marRight w:val="120"/>
          <w:marTop w:val="0"/>
          <w:marBottom w:val="0"/>
          <w:divBdr>
            <w:top w:val="none" w:sz="0" w:space="0" w:color="auto"/>
            <w:left w:val="none" w:sz="0" w:space="0" w:color="auto"/>
            <w:bottom w:val="none" w:sz="0" w:space="0" w:color="auto"/>
            <w:right w:val="none" w:sz="0" w:space="0" w:color="auto"/>
          </w:divBdr>
        </w:div>
        <w:div w:id="388001022">
          <w:marLeft w:val="0"/>
          <w:marRight w:val="120"/>
          <w:marTop w:val="0"/>
          <w:marBottom w:val="0"/>
          <w:divBdr>
            <w:top w:val="none" w:sz="0" w:space="0" w:color="auto"/>
            <w:left w:val="none" w:sz="0" w:space="0" w:color="auto"/>
            <w:bottom w:val="none" w:sz="0" w:space="0" w:color="auto"/>
            <w:right w:val="none" w:sz="0" w:space="0" w:color="auto"/>
          </w:divBdr>
        </w:div>
        <w:div w:id="1764954941">
          <w:marLeft w:val="0"/>
          <w:marRight w:val="120"/>
          <w:marTop w:val="0"/>
          <w:marBottom w:val="0"/>
          <w:divBdr>
            <w:top w:val="none" w:sz="0" w:space="0" w:color="auto"/>
            <w:left w:val="none" w:sz="0" w:space="0" w:color="auto"/>
            <w:bottom w:val="none" w:sz="0" w:space="0" w:color="auto"/>
            <w:right w:val="none" w:sz="0" w:space="0" w:color="auto"/>
          </w:divBdr>
        </w:div>
        <w:div w:id="583685967">
          <w:marLeft w:val="0"/>
          <w:marRight w:val="0"/>
          <w:marTop w:val="0"/>
          <w:marBottom w:val="0"/>
          <w:divBdr>
            <w:top w:val="none" w:sz="0" w:space="0" w:color="auto"/>
            <w:left w:val="none" w:sz="0" w:space="0" w:color="auto"/>
            <w:bottom w:val="none" w:sz="0" w:space="0" w:color="auto"/>
            <w:right w:val="none" w:sz="0" w:space="0" w:color="auto"/>
          </w:divBdr>
        </w:div>
        <w:div w:id="156389032">
          <w:marLeft w:val="0"/>
          <w:marRight w:val="0"/>
          <w:marTop w:val="0"/>
          <w:marBottom w:val="0"/>
          <w:divBdr>
            <w:top w:val="none" w:sz="0" w:space="0" w:color="auto"/>
            <w:left w:val="none" w:sz="0" w:space="0" w:color="auto"/>
            <w:bottom w:val="none" w:sz="0" w:space="0" w:color="auto"/>
            <w:right w:val="none" w:sz="0" w:space="0" w:color="auto"/>
          </w:divBdr>
        </w:div>
      </w:divsChild>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jackbro</dc:creator>
  <cp:lastModifiedBy>JACKSON, Bronwyn (NHS NOTTINGHAM AND NOTTINGHAMSHIRE ICB - 52R)</cp:lastModifiedBy>
  <cp:revision>3</cp:revision>
  <dcterms:created xsi:type="dcterms:W3CDTF">2025-01-29T14:03:00Z</dcterms:created>
  <dcterms:modified xsi:type="dcterms:W3CDTF">2025-01-29T14:05:00Z</dcterms:modified>
</cp:coreProperties>
</file>