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ABD" w14:textId="3A23BE1F" w:rsidR="00CD6BD8" w:rsidRPr="0075433B" w:rsidRDefault="007E4B96">
      <w:pPr>
        <w:rPr>
          <w:b/>
          <w:sz w:val="32"/>
          <w:szCs w:val="32"/>
        </w:rPr>
      </w:pPr>
      <w:r w:rsidRPr="0075433B">
        <w:rPr>
          <w:b/>
        </w:rPr>
        <w:t xml:space="preserve"> </w:t>
      </w:r>
      <w:r w:rsidR="00AD3EED">
        <w:rPr>
          <w:b/>
          <w:sz w:val="32"/>
          <w:szCs w:val="32"/>
        </w:rPr>
        <w:t>Commissioning Purposes</w:t>
      </w:r>
    </w:p>
    <w:p w14:paraId="1960ADA5" w14:textId="77777777" w:rsidR="007E4B96" w:rsidRDefault="007E4B96">
      <w:pPr>
        <w:rPr>
          <w:sz w:val="28"/>
          <w:szCs w:val="28"/>
        </w:rPr>
      </w:pPr>
    </w:p>
    <w:tbl>
      <w:tblPr>
        <w:tblStyle w:val="TableGrid"/>
        <w:tblW w:w="0" w:type="auto"/>
        <w:tblLook w:val="04A0" w:firstRow="1" w:lastRow="0" w:firstColumn="1" w:lastColumn="0" w:noHBand="0" w:noVBand="1"/>
      </w:tblPr>
      <w:tblGrid>
        <w:gridCol w:w="2479"/>
        <w:gridCol w:w="6537"/>
      </w:tblGrid>
      <w:tr w:rsidR="007E4B96" w14:paraId="76DDEB7A" w14:textId="77777777" w:rsidTr="00AD3EED">
        <w:trPr>
          <w:trHeight w:val="2086"/>
        </w:trPr>
        <w:tc>
          <w:tcPr>
            <w:tcW w:w="251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724" w:type="dxa"/>
          </w:tcPr>
          <w:p w14:paraId="447D7986" w14:textId="2A3692D8" w:rsidR="007450AC" w:rsidRDefault="00AD3EED" w:rsidP="00AD3EED">
            <w:pPr>
              <w:spacing w:before="100" w:beforeAutospacing="1" w:after="100" w:afterAutospacing="1"/>
              <w:rPr>
                <w:rFonts w:ascii="Arial" w:eastAsia="Times New Roman" w:hAnsi="Arial" w:cs="Arial"/>
                <w:bCs/>
                <w:lang w:eastAsia="en-GB"/>
              </w:rPr>
            </w:pPr>
            <w:r w:rsidRPr="00B00861">
              <w:rPr>
                <w:rFonts w:ascii="Arial" w:eastAsia="Times New Roman" w:hAnsi="Arial" w:cs="Arial"/>
                <w:bCs/>
                <w:lang w:eastAsia="en-GB"/>
              </w:rPr>
              <w:t xml:space="preserve">Hospitals and community setting organisations that provide NHS-funded care must by law submit certain information to NHS Digital about services provided to you and the population we serve.  This information is known as </w:t>
            </w:r>
            <w:hyperlink r:id="rId8" w:history="1">
              <w:r w:rsidRPr="00B00861">
                <w:rPr>
                  <w:rStyle w:val="Hyperlink"/>
                  <w:rFonts w:ascii="Arial" w:eastAsia="Times New Roman" w:hAnsi="Arial" w:cs="Arial"/>
                  <w:bCs/>
                  <w:lang w:eastAsia="en-GB"/>
                </w:rPr>
                <w:t>commissioning datasets</w:t>
              </w:r>
            </w:hyperlink>
            <w:r w:rsidRPr="00B00861">
              <w:rPr>
                <w:rFonts w:ascii="Arial" w:eastAsia="Times New Roman" w:hAnsi="Arial" w:cs="Arial"/>
                <w:bCs/>
                <w:lang w:eastAsia="en-GB"/>
              </w:rPr>
              <w:t xml:space="preserve">.  The </w:t>
            </w:r>
            <w:r w:rsidR="00650ABC">
              <w:rPr>
                <w:rFonts w:ascii="Arial" w:eastAsia="Times New Roman" w:hAnsi="Arial" w:cs="Arial"/>
                <w:bCs/>
                <w:lang w:eastAsia="en-GB"/>
              </w:rPr>
              <w:t xml:space="preserve">ICB </w:t>
            </w:r>
            <w:r w:rsidRPr="00B00861">
              <w:rPr>
                <w:rFonts w:ascii="Arial" w:eastAsia="Times New Roman" w:hAnsi="Arial" w:cs="Arial"/>
                <w:bCs/>
                <w:lang w:eastAsia="en-GB"/>
              </w:rPr>
              <w:t xml:space="preserve">obtains these datasets from NHS Digital which relate to patients registered with our GP practices.  </w:t>
            </w:r>
            <w:r w:rsidR="008B20D6">
              <w:rPr>
                <w:rFonts w:ascii="Arial" w:eastAsia="Times New Roman" w:hAnsi="Arial" w:cs="Arial"/>
                <w:bCs/>
                <w:lang w:eastAsia="en-GB"/>
              </w:rPr>
              <w:t>The ICB</w:t>
            </w:r>
            <w:r w:rsidR="008B20D6" w:rsidRPr="008B20D6">
              <w:rPr>
                <w:rFonts w:ascii="Arial" w:eastAsia="Times New Roman" w:hAnsi="Arial" w:cs="Arial"/>
                <w:bCs/>
                <w:lang w:eastAsia="en-GB"/>
              </w:rPr>
              <w:t xml:space="preserve"> also receive</w:t>
            </w:r>
            <w:r w:rsidR="008B20D6">
              <w:rPr>
                <w:rFonts w:ascii="Arial" w:eastAsia="Times New Roman" w:hAnsi="Arial" w:cs="Arial"/>
                <w:bCs/>
                <w:lang w:eastAsia="en-GB"/>
              </w:rPr>
              <w:t>s</w:t>
            </w:r>
            <w:r w:rsidR="008B20D6" w:rsidRPr="008B20D6">
              <w:rPr>
                <w:rFonts w:ascii="Arial" w:eastAsia="Times New Roman" w:hAnsi="Arial" w:cs="Arial"/>
                <w:bCs/>
                <w:lang w:eastAsia="en-GB"/>
              </w:rPr>
              <w:t xml:space="preserve"> what’s known as ‘local flows’</w:t>
            </w:r>
            <w:r w:rsidR="00045C78">
              <w:rPr>
                <w:rFonts w:ascii="Arial" w:eastAsia="Times New Roman" w:hAnsi="Arial" w:cs="Arial"/>
                <w:bCs/>
                <w:lang w:eastAsia="en-GB"/>
              </w:rPr>
              <w:t>,</w:t>
            </w:r>
            <w:r w:rsidR="008B20D6" w:rsidRPr="008B20D6">
              <w:rPr>
                <w:rFonts w:ascii="Arial" w:eastAsia="Times New Roman" w:hAnsi="Arial" w:cs="Arial"/>
                <w:bCs/>
                <w:lang w:eastAsia="en-GB"/>
              </w:rPr>
              <w:t xml:space="preserve"> from organisations we commission to provide services.</w:t>
            </w:r>
            <w:r w:rsidR="008B20D6">
              <w:rPr>
                <w:rFonts w:ascii="Arial" w:eastAsia="Times New Roman" w:hAnsi="Arial" w:cs="Arial"/>
                <w:bCs/>
                <w:lang w:eastAsia="en-GB"/>
              </w:rPr>
              <w:t xml:space="preserve"> </w:t>
            </w:r>
            <w:r w:rsidRPr="00B00861">
              <w:rPr>
                <w:rFonts w:ascii="Arial" w:eastAsia="Times New Roman" w:hAnsi="Arial" w:cs="Arial"/>
                <w:bCs/>
                <w:lang w:eastAsia="en-GB"/>
              </w:rPr>
              <w:t>This enables us to plan, design, purchase and pay for the best possible care available for you.</w:t>
            </w:r>
          </w:p>
          <w:p w14:paraId="573066A0" w14:textId="4D1EE951" w:rsidR="008B20D6" w:rsidRPr="00B00861" w:rsidRDefault="008B20D6" w:rsidP="00AD3EED">
            <w:pPr>
              <w:spacing w:before="100" w:beforeAutospacing="1" w:after="100" w:afterAutospacing="1"/>
              <w:rPr>
                <w:rFonts w:ascii="Arial" w:eastAsia="Times New Roman" w:hAnsi="Arial" w:cs="Arial"/>
                <w:bCs/>
                <w:lang w:eastAsia="en-GB"/>
              </w:rPr>
            </w:pPr>
          </w:p>
        </w:tc>
      </w:tr>
      <w:tr w:rsidR="007E4B96" w14:paraId="10D265B4" w14:textId="77777777" w:rsidTr="007E4B96">
        <w:tc>
          <w:tcPr>
            <w:tcW w:w="251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724" w:type="dxa"/>
          </w:tcPr>
          <w:p w14:paraId="20F86CD4" w14:textId="77777777" w:rsidR="003E3340" w:rsidRDefault="003E3340" w:rsidP="003E3340">
            <w:p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Different types of commissioning data are legally allowed to be used by different organisations within, or contracted to, the NHS.</w:t>
            </w:r>
          </w:p>
          <w:p w14:paraId="4720960E" w14:textId="77777777" w:rsidR="008B20D6" w:rsidRDefault="003E3340" w:rsidP="003E3340">
            <w:p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Identifiable – when disclosed from Primary and Secondary Care Services to NHS Digital</w:t>
            </w:r>
          </w:p>
          <w:p w14:paraId="15285FAD" w14:textId="558C9E10" w:rsidR="008B20D6" w:rsidRDefault="008B20D6" w:rsidP="003E3340">
            <w:p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Pseudonymised – when received by the ICB from NHS Digital</w:t>
            </w:r>
          </w:p>
          <w:p w14:paraId="0E98B025" w14:textId="4FBFCE17" w:rsidR="008B20D6" w:rsidRDefault="008B20D6" w:rsidP="003E3340">
            <w:p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Anonymised/Pseudonymised – when received by the ICB as ‘local </w:t>
            </w:r>
            <w:proofErr w:type="gramStart"/>
            <w:r w:rsidR="00C44685">
              <w:rPr>
                <w:rFonts w:ascii="Arial" w:eastAsia="Times New Roman" w:hAnsi="Arial" w:cs="Arial"/>
                <w:bCs/>
                <w:lang w:eastAsia="en-GB"/>
              </w:rPr>
              <w:t>flows’</w:t>
            </w:r>
            <w:proofErr w:type="gramEnd"/>
            <w:r>
              <w:rPr>
                <w:rFonts w:ascii="Arial" w:eastAsia="Times New Roman" w:hAnsi="Arial" w:cs="Arial"/>
                <w:bCs/>
                <w:lang w:eastAsia="en-GB"/>
              </w:rPr>
              <w:t>.</w:t>
            </w:r>
          </w:p>
          <w:p w14:paraId="5E58D439" w14:textId="1D6AD91C" w:rsidR="00ED6288" w:rsidRPr="00B00861" w:rsidRDefault="00ED6288" w:rsidP="003E3340">
            <w:pPr>
              <w:spacing w:before="100" w:beforeAutospacing="1" w:after="100" w:afterAutospacing="1"/>
              <w:outlineLvl w:val="2"/>
              <w:rPr>
                <w:rFonts w:ascii="Arial" w:hAnsi="Arial" w:cs="Arial"/>
              </w:rPr>
            </w:pPr>
          </w:p>
        </w:tc>
      </w:tr>
      <w:tr w:rsidR="006F77D2" w14:paraId="235E5E78" w14:textId="77777777" w:rsidTr="003E3340">
        <w:trPr>
          <w:trHeight w:val="50"/>
        </w:trPr>
        <w:tc>
          <w:tcPr>
            <w:tcW w:w="2518" w:type="dxa"/>
          </w:tcPr>
          <w:p w14:paraId="706D9982" w14:textId="77777777" w:rsidR="006F77D2" w:rsidRDefault="006F77D2" w:rsidP="005629F6">
            <w:pPr>
              <w:rPr>
                <w:rFonts w:ascii="Arial" w:hAnsi="Arial" w:cs="Arial"/>
                <w:b/>
              </w:rPr>
            </w:pPr>
            <w:r>
              <w:rPr>
                <w:rFonts w:ascii="Arial" w:hAnsi="Arial" w:cs="Arial"/>
                <w:b/>
              </w:rPr>
              <w:t>How we will collect and use the Information</w:t>
            </w:r>
          </w:p>
          <w:p w14:paraId="1F703ACF" w14:textId="77777777" w:rsidR="00AE33E7" w:rsidRPr="00AE33E7" w:rsidRDefault="00AE33E7" w:rsidP="00AE33E7">
            <w:pPr>
              <w:rPr>
                <w:rFonts w:ascii="Arial" w:hAnsi="Arial" w:cs="Arial"/>
              </w:rPr>
            </w:pPr>
          </w:p>
          <w:p w14:paraId="4C588631" w14:textId="77777777" w:rsidR="00AE33E7" w:rsidRPr="00AE33E7" w:rsidRDefault="00AE33E7" w:rsidP="00AE33E7">
            <w:pPr>
              <w:rPr>
                <w:rFonts w:ascii="Arial" w:hAnsi="Arial" w:cs="Arial"/>
              </w:rPr>
            </w:pPr>
          </w:p>
          <w:p w14:paraId="3A4CA46D" w14:textId="77777777" w:rsidR="00AE33E7" w:rsidRPr="00AE33E7" w:rsidRDefault="00AE33E7" w:rsidP="00AE33E7">
            <w:pPr>
              <w:rPr>
                <w:rFonts w:ascii="Arial" w:hAnsi="Arial" w:cs="Arial"/>
              </w:rPr>
            </w:pPr>
          </w:p>
          <w:p w14:paraId="024B61D8" w14:textId="77777777" w:rsidR="00AE33E7" w:rsidRPr="00AE33E7" w:rsidRDefault="00AE33E7" w:rsidP="00AE33E7">
            <w:pPr>
              <w:rPr>
                <w:rFonts w:ascii="Arial" w:hAnsi="Arial" w:cs="Arial"/>
              </w:rPr>
            </w:pPr>
          </w:p>
          <w:p w14:paraId="7E72251E" w14:textId="77777777" w:rsidR="00AE33E7" w:rsidRPr="00AE33E7" w:rsidRDefault="00AE33E7" w:rsidP="00AE33E7">
            <w:pPr>
              <w:rPr>
                <w:rFonts w:ascii="Arial" w:hAnsi="Arial" w:cs="Arial"/>
              </w:rPr>
            </w:pPr>
          </w:p>
          <w:p w14:paraId="3274F8EA" w14:textId="77777777" w:rsidR="00AE33E7" w:rsidRPr="00AE33E7" w:rsidRDefault="00AE33E7" w:rsidP="00AE33E7">
            <w:pPr>
              <w:rPr>
                <w:rFonts w:ascii="Arial" w:hAnsi="Arial" w:cs="Arial"/>
              </w:rPr>
            </w:pPr>
          </w:p>
          <w:p w14:paraId="15F8B645" w14:textId="77777777" w:rsidR="00AE33E7" w:rsidRPr="00AE33E7" w:rsidRDefault="00AE33E7" w:rsidP="00AE33E7">
            <w:pPr>
              <w:rPr>
                <w:rFonts w:ascii="Arial" w:hAnsi="Arial" w:cs="Arial"/>
              </w:rPr>
            </w:pPr>
          </w:p>
          <w:p w14:paraId="08AC56A2" w14:textId="77777777" w:rsidR="00AE33E7" w:rsidRDefault="00AE33E7" w:rsidP="00AE33E7">
            <w:pPr>
              <w:rPr>
                <w:rFonts w:ascii="Arial" w:hAnsi="Arial" w:cs="Arial"/>
                <w:b/>
              </w:rPr>
            </w:pPr>
          </w:p>
          <w:p w14:paraId="2BF5AEB9" w14:textId="77777777" w:rsidR="00AE33E7" w:rsidRPr="00AE33E7" w:rsidRDefault="00AE33E7" w:rsidP="00AE33E7">
            <w:pPr>
              <w:rPr>
                <w:rFonts w:ascii="Arial" w:hAnsi="Arial" w:cs="Arial"/>
              </w:rPr>
            </w:pPr>
          </w:p>
          <w:p w14:paraId="31FD30F1" w14:textId="77777777" w:rsidR="00AE33E7" w:rsidRPr="00AE33E7" w:rsidRDefault="00AE33E7" w:rsidP="00AE33E7">
            <w:pPr>
              <w:rPr>
                <w:rFonts w:ascii="Arial" w:hAnsi="Arial" w:cs="Arial"/>
              </w:rPr>
            </w:pPr>
          </w:p>
          <w:p w14:paraId="3D7F50DA" w14:textId="77777777" w:rsidR="00AE33E7" w:rsidRPr="00AE33E7" w:rsidRDefault="00AE33E7" w:rsidP="00AE33E7">
            <w:pPr>
              <w:rPr>
                <w:rFonts w:ascii="Arial" w:hAnsi="Arial" w:cs="Arial"/>
              </w:rPr>
            </w:pPr>
          </w:p>
          <w:p w14:paraId="34A01D54" w14:textId="77777777" w:rsidR="00AE33E7" w:rsidRDefault="00AE33E7" w:rsidP="00AE33E7">
            <w:pPr>
              <w:rPr>
                <w:rFonts w:ascii="Arial" w:hAnsi="Arial" w:cs="Arial"/>
                <w:b/>
              </w:rPr>
            </w:pPr>
          </w:p>
          <w:p w14:paraId="633A93B0" w14:textId="77777777" w:rsidR="00AE33E7" w:rsidRPr="00AE33E7" w:rsidRDefault="00AE33E7" w:rsidP="00AE33E7">
            <w:pPr>
              <w:rPr>
                <w:rFonts w:ascii="Arial" w:hAnsi="Arial" w:cs="Arial"/>
              </w:rPr>
            </w:pPr>
          </w:p>
          <w:p w14:paraId="20E5F2A3" w14:textId="77777777" w:rsidR="00AE33E7" w:rsidRDefault="00AE33E7" w:rsidP="00AE33E7">
            <w:pPr>
              <w:rPr>
                <w:rFonts w:ascii="Arial" w:hAnsi="Arial" w:cs="Arial"/>
                <w:b/>
              </w:rPr>
            </w:pPr>
          </w:p>
          <w:p w14:paraId="72945971" w14:textId="77777777" w:rsidR="00AE33E7" w:rsidRPr="00AE33E7" w:rsidRDefault="00AE33E7" w:rsidP="00AE33E7">
            <w:pPr>
              <w:rPr>
                <w:rFonts w:ascii="Arial" w:hAnsi="Arial" w:cs="Arial"/>
              </w:rPr>
            </w:pPr>
          </w:p>
        </w:tc>
        <w:tc>
          <w:tcPr>
            <w:tcW w:w="6724" w:type="dxa"/>
          </w:tcPr>
          <w:p w14:paraId="267CAC54" w14:textId="77777777" w:rsidR="003E3340" w:rsidRDefault="003E3340" w:rsidP="003E3340">
            <w:p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The datasets we receive from </w:t>
            </w:r>
            <w:hyperlink r:id="rId9" w:history="1">
              <w:r>
                <w:rPr>
                  <w:rStyle w:val="Hyperlink"/>
                  <w:rFonts w:ascii="Arial" w:eastAsia="Times New Roman" w:hAnsi="Arial" w:cs="Arial"/>
                  <w:bCs/>
                  <w:lang w:eastAsia="en-GB"/>
                </w:rPr>
                <w:t>NHS Digital</w:t>
              </w:r>
            </w:hyperlink>
            <w:r>
              <w:rPr>
                <w:rFonts w:ascii="Arial" w:eastAsia="Times New Roman" w:hAnsi="Arial" w:cs="Arial"/>
                <w:bCs/>
                <w:lang w:eastAsia="en-GB"/>
              </w:rPr>
              <w:t xml:space="preserve"> have been linked and are in a format that does not directly identify you.  Information such as your age, ethnicity and gender as well as coded information about any clinic or accident and emergency attendances, hospital admissions and treatment will be included.</w:t>
            </w:r>
          </w:p>
          <w:p w14:paraId="17EBD4C1" w14:textId="0AAC442F" w:rsidR="003E3340" w:rsidRDefault="003E3340" w:rsidP="003E3340">
            <w:p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We also receive similar information from </w:t>
            </w:r>
            <w:r w:rsidR="00E6184B">
              <w:rPr>
                <w:rFonts w:ascii="Arial" w:eastAsia="Times New Roman" w:hAnsi="Arial" w:cs="Arial"/>
                <w:bCs/>
                <w:lang w:eastAsia="en-GB"/>
              </w:rPr>
              <w:t xml:space="preserve">service providers we have commissioned including </w:t>
            </w:r>
            <w:r>
              <w:rPr>
                <w:rFonts w:ascii="Arial" w:eastAsia="Times New Roman" w:hAnsi="Arial" w:cs="Arial"/>
                <w:bCs/>
                <w:lang w:eastAsia="en-GB"/>
              </w:rPr>
              <w:t>GP Practices within the Nottingham &amp; Nottinghamshire ICB area</w:t>
            </w:r>
            <w:r w:rsidR="00E6184B">
              <w:rPr>
                <w:rFonts w:ascii="Arial" w:eastAsia="Times New Roman" w:hAnsi="Arial" w:cs="Arial"/>
                <w:bCs/>
                <w:lang w:eastAsia="en-GB"/>
              </w:rPr>
              <w:t xml:space="preserve"> as, </w:t>
            </w:r>
            <w:r>
              <w:rPr>
                <w:rFonts w:ascii="Arial" w:eastAsia="Times New Roman" w:hAnsi="Arial" w:cs="Arial"/>
                <w:bCs/>
                <w:lang w:eastAsia="en-GB"/>
              </w:rPr>
              <w:t>that also does not identify you.</w:t>
            </w:r>
          </w:p>
          <w:p w14:paraId="4D4DB978" w14:textId="77777777" w:rsidR="003E3340" w:rsidRDefault="003E3340" w:rsidP="003E3340">
            <w:pPr>
              <w:numPr>
                <w:ilvl w:val="0"/>
                <w:numId w:val="5"/>
              </w:num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We use these datasets (Secondary User Service (SUS) Service Level Agreement Monitoring (SLAM)) for </w:t>
            </w:r>
            <w:proofErr w:type="gramStart"/>
            <w:r>
              <w:rPr>
                <w:rFonts w:ascii="Arial" w:eastAsia="Times New Roman" w:hAnsi="Arial" w:cs="Arial"/>
                <w:bCs/>
                <w:lang w:eastAsia="en-GB"/>
              </w:rPr>
              <w:t>a number of</w:t>
            </w:r>
            <w:proofErr w:type="gramEnd"/>
            <w:r>
              <w:rPr>
                <w:rFonts w:ascii="Arial" w:eastAsia="Times New Roman" w:hAnsi="Arial" w:cs="Arial"/>
                <w:bCs/>
                <w:lang w:eastAsia="en-GB"/>
              </w:rPr>
              <w:t xml:space="preserve"> purposes such as:</w:t>
            </w:r>
          </w:p>
          <w:p w14:paraId="39D103C4" w14:textId="77777777" w:rsidR="003E3340" w:rsidRDefault="003E3340" w:rsidP="003E3340">
            <w:pPr>
              <w:numPr>
                <w:ilvl w:val="1"/>
                <w:numId w:val="5"/>
              </w:num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Performance managing </w:t>
            </w:r>
            <w:proofErr w:type="gramStart"/>
            <w:r>
              <w:rPr>
                <w:rFonts w:ascii="Arial" w:eastAsia="Times New Roman" w:hAnsi="Arial" w:cs="Arial"/>
                <w:bCs/>
                <w:lang w:eastAsia="en-GB"/>
              </w:rPr>
              <w:t>contracts;</w:t>
            </w:r>
            <w:proofErr w:type="gramEnd"/>
          </w:p>
          <w:p w14:paraId="228A4182" w14:textId="77777777" w:rsidR="003E3340" w:rsidRDefault="003E3340" w:rsidP="003E3340">
            <w:pPr>
              <w:numPr>
                <w:ilvl w:val="1"/>
                <w:numId w:val="5"/>
              </w:num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Reviewing the care delivered by providers to ensure service users are receiving quality and cost effective </w:t>
            </w:r>
            <w:proofErr w:type="gramStart"/>
            <w:r>
              <w:rPr>
                <w:rFonts w:ascii="Arial" w:eastAsia="Times New Roman" w:hAnsi="Arial" w:cs="Arial"/>
                <w:bCs/>
                <w:lang w:eastAsia="en-GB"/>
              </w:rPr>
              <w:t>care;</w:t>
            </w:r>
            <w:proofErr w:type="gramEnd"/>
            <w:r>
              <w:rPr>
                <w:rFonts w:ascii="Arial" w:eastAsia="Times New Roman" w:hAnsi="Arial" w:cs="Arial"/>
                <w:bCs/>
                <w:lang w:eastAsia="en-GB"/>
              </w:rPr>
              <w:t> </w:t>
            </w:r>
          </w:p>
          <w:p w14:paraId="2CFFE0C2" w14:textId="77777777" w:rsidR="003E3340" w:rsidRDefault="003E3340" w:rsidP="003E3340">
            <w:pPr>
              <w:numPr>
                <w:ilvl w:val="1"/>
                <w:numId w:val="5"/>
              </w:num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lastRenderedPageBreak/>
              <w:t xml:space="preserve">To prepare statistics on NHS performance to understand health needs and support service re-design, modernisation and </w:t>
            </w:r>
            <w:proofErr w:type="gramStart"/>
            <w:r>
              <w:rPr>
                <w:rFonts w:ascii="Arial" w:eastAsia="Times New Roman" w:hAnsi="Arial" w:cs="Arial"/>
                <w:bCs/>
                <w:lang w:eastAsia="en-GB"/>
              </w:rPr>
              <w:t>improvement;</w:t>
            </w:r>
            <w:proofErr w:type="gramEnd"/>
          </w:p>
          <w:p w14:paraId="6F5E45B8" w14:textId="77777777" w:rsidR="003E3340" w:rsidRDefault="003E3340" w:rsidP="003E3340">
            <w:pPr>
              <w:numPr>
                <w:ilvl w:val="1"/>
                <w:numId w:val="5"/>
              </w:num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To help us plan future services to ensure they continue to meet our local population </w:t>
            </w:r>
            <w:proofErr w:type="gramStart"/>
            <w:r>
              <w:rPr>
                <w:rFonts w:ascii="Arial" w:eastAsia="Times New Roman" w:hAnsi="Arial" w:cs="Arial"/>
                <w:bCs/>
                <w:lang w:eastAsia="en-GB"/>
              </w:rPr>
              <w:t>needs;</w:t>
            </w:r>
            <w:proofErr w:type="gramEnd"/>
          </w:p>
          <w:p w14:paraId="0EA59C7B" w14:textId="77777777" w:rsidR="003E3340" w:rsidRDefault="003E3340" w:rsidP="003E3340">
            <w:pPr>
              <w:numPr>
                <w:ilvl w:val="1"/>
                <w:numId w:val="5"/>
              </w:num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 xml:space="preserve">To reconcile claims for payments for services received in your GP </w:t>
            </w:r>
            <w:proofErr w:type="gramStart"/>
            <w:r>
              <w:rPr>
                <w:rFonts w:ascii="Arial" w:eastAsia="Times New Roman" w:hAnsi="Arial" w:cs="Arial"/>
                <w:bCs/>
                <w:lang w:eastAsia="en-GB"/>
              </w:rPr>
              <w:t>Practice;</w:t>
            </w:r>
            <w:proofErr w:type="gramEnd"/>
          </w:p>
          <w:p w14:paraId="11B33754" w14:textId="2E8643F1" w:rsidR="009613B8" w:rsidRPr="003E3340" w:rsidRDefault="003E3340" w:rsidP="00DC0E91">
            <w:pPr>
              <w:numPr>
                <w:ilvl w:val="1"/>
                <w:numId w:val="5"/>
              </w:num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To audit NHS accounts and services</w:t>
            </w:r>
          </w:p>
        </w:tc>
      </w:tr>
      <w:tr w:rsidR="00DB4F29" w14:paraId="4F07A23C" w14:textId="77777777" w:rsidTr="007E4B96">
        <w:tc>
          <w:tcPr>
            <w:tcW w:w="2518" w:type="dxa"/>
          </w:tcPr>
          <w:p w14:paraId="765AE9F9" w14:textId="78502B67" w:rsidR="00DB4F29" w:rsidRPr="00DA3EDA" w:rsidRDefault="00DB4F29" w:rsidP="005629F6">
            <w:pPr>
              <w:rPr>
                <w:rFonts w:ascii="Arial" w:hAnsi="Arial" w:cs="Arial"/>
                <w:b/>
              </w:rPr>
            </w:pPr>
            <w:r w:rsidRPr="00DA3EDA">
              <w:rPr>
                <w:rFonts w:ascii="Arial" w:hAnsi="Arial" w:cs="Arial"/>
                <w:b/>
              </w:rPr>
              <w:lastRenderedPageBreak/>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724" w:type="dxa"/>
          </w:tcPr>
          <w:p w14:paraId="2A6DBD65" w14:textId="13CB4F66" w:rsidR="00DB4F29" w:rsidRPr="004218BF" w:rsidRDefault="00B32DF7" w:rsidP="005629F6">
            <w:pPr>
              <w:rPr>
                <w:rFonts w:ascii="Arial" w:hAnsi="Arial" w:cs="Arial"/>
              </w:rPr>
            </w:pPr>
            <w:r>
              <w:rPr>
                <w:rFonts w:ascii="Arial" w:hAnsi="Arial" w:cs="Arial"/>
              </w:rPr>
              <w:t xml:space="preserve">Information will not be shared outside of the </w:t>
            </w:r>
            <w:r w:rsidR="00AD4CAF">
              <w:rPr>
                <w:rFonts w:ascii="Arial" w:hAnsi="Arial" w:cs="Arial"/>
              </w:rPr>
              <w:t>ICB.</w:t>
            </w:r>
          </w:p>
        </w:tc>
      </w:tr>
      <w:tr w:rsidR="00DB4F29" w14:paraId="5573FBEF" w14:textId="77777777" w:rsidTr="007E4B96">
        <w:tc>
          <w:tcPr>
            <w:tcW w:w="2518"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724" w:type="dxa"/>
          </w:tcPr>
          <w:p w14:paraId="3C68B977" w14:textId="77777777" w:rsidR="00DB4F29" w:rsidRPr="00CF6EAE" w:rsidRDefault="00DB4F29" w:rsidP="00C44A0F">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proofErr w:type="gramStart"/>
            <w:r w:rsidRPr="00CF6EAE">
              <w:rPr>
                <w:rFonts w:ascii="Arial" w:eastAsia="Times New Roman" w:hAnsi="Arial" w:cs="Arial"/>
                <w:lang w:val="en-US" w:eastAsia="en-GB"/>
              </w:rPr>
              <w:t>e)processing</w:t>
            </w:r>
            <w:proofErr w:type="gramEnd"/>
            <w:r w:rsidRPr="00CF6EAE">
              <w:rPr>
                <w:rFonts w:ascii="Arial" w:eastAsia="Times New Roman" w:hAnsi="Arial" w:cs="Arial"/>
                <w:lang w:val="en-US" w:eastAsia="en-GB"/>
              </w:rPr>
              <w:t xml:space="preserve"> is necessary for the performance of a task carried out in the public interest or in the exercise of official authority vested in the controller;</w:t>
            </w:r>
          </w:p>
          <w:p w14:paraId="0933E691" w14:textId="20AF5F95" w:rsidR="00D16415" w:rsidRPr="00D16415" w:rsidRDefault="00D16415" w:rsidP="00D16415">
            <w:pPr>
              <w:rPr>
                <w:rFonts w:ascii="Arial" w:hAnsi="Arial" w:cs="Arial"/>
                <w:b/>
                <w:bCs/>
                <w:lang w:val="en"/>
              </w:rPr>
            </w:pPr>
            <w:r w:rsidRPr="00DE6FE8">
              <w:rPr>
                <w:rFonts w:ascii="Arial" w:hAnsi="Arial" w:cs="Arial"/>
                <w:b/>
                <w:bCs/>
                <w:lang w:val="en"/>
              </w:rPr>
              <w:t>Processing of Special Categories of Data</w:t>
            </w:r>
          </w:p>
          <w:p w14:paraId="0584C9CF" w14:textId="12303FE9" w:rsidR="00DB4F29" w:rsidRDefault="00C44A0F" w:rsidP="00DC0E91">
            <w:pPr>
              <w:spacing w:before="100" w:beforeAutospacing="1" w:after="100" w:afterAutospacing="1"/>
              <w:outlineLvl w:val="2"/>
              <w:rPr>
                <w:rStyle w:val="Hyperlink"/>
                <w:rFonts w:ascii="Arial" w:eastAsia="Times New Roman" w:hAnsi="Arial" w:cs="Arial"/>
                <w:bCs/>
                <w:lang w:val="en-US" w:eastAsia="en-GB"/>
              </w:rPr>
            </w:pPr>
            <w:r>
              <w:rPr>
                <w:rFonts w:ascii="Arial" w:eastAsia="Times New Roman" w:hAnsi="Arial" w:cs="Arial"/>
                <w:bCs/>
                <w:lang w:val="en-US" w:eastAsia="en-GB"/>
              </w:rPr>
              <w:t>9</w:t>
            </w:r>
            <w:r w:rsidRPr="00C44A0F">
              <w:rPr>
                <w:rFonts w:ascii="Arial" w:eastAsia="Times New Roman" w:hAnsi="Arial" w:cs="Arial"/>
                <w:bCs/>
                <w:lang w:val="en-US" w:eastAsia="en-GB"/>
              </w:rPr>
              <w:t xml:space="preserve">(2)(h) processing is necessary for the purposes of </w:t>
            </w:r>
            <w:r>
              <w:rPr>
                <w:rFonts w:ascii="Arial" w:eastAsia="Times New Roman" w:hAnsi="Arial" w:cs="Arial"/>
                <w:bCs/>
                <w:lang w:val="en-US" w:eastAsia="en-GB"/>
              </w:rPr>
              <w:t xml:space="preserve"> </w:t>
            </w:r>
            <w:r w:rsidRPr="00C44A0F">
              <w:rPr>
                <w:rFonts w:ascii="Arial" w:eastAsia="Times New Roman" w:hAnsi="Arial" w:cs="Arial"/>
                <w:bCs/>
                <w:lang w:val="en-US" w:eastAsia="en-GB"/>
              </w:rPr>
              <w:t xml:space="preserve">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w:t>
            </w:r>
            <w:hyperlink r:id="rId10" w:history="1">
              <w:r w:rsidRPr="00C44A0F">
                <w:rPr>
                  <w:rStyle w:val="Hyperlink"/>
                  <w:rFonts w:ascii="Arial" w:eastAsia="Times New Roman" w:hAnsi="Arial" w:cs="Arial"/>
                  <w:bCs/>
                  <w:lang w:val="en-US" w:eastAsia="en-GB"/>
                </w:rPr>
                <w:t>paragraph 3</w:t>
              </w:r>
            </w:hyperlink>
          </w:p>
          <w:p w14:paraId="2C22FDEB" w14:textId="60281F9B" w:rsidR="00DC0E91" w:rsidRPr="00C86DE9" w:rsidRDefault="00C86DE9" w:rsidP="00DC0E91">
            <w:pPr>
              <w:spacing w:before="100" w:beforeAutospacing="1" w:after="100" w:afterAutospacing="1"/>
              <w:outlineLvl w:val="2"/>
              <w:rPr>
                <w:rFonts w:ascii="Arial" w:eastAsia="Times New Roman" w:hAnsi="Arial" w:cs="Arial"/>
                <w:bCs/>
                <w:color w:val="0000FF" w:themeColor="hyperlink"/>
                <w:u w:val="single"/>
                <w:lang w:val="en-US" w:eastAsia="en-GB"/>
              </w:rPr>
            </w:pPr>
            <w:r w:rsidRPr="00C8695B">
              <w:rPr>
                <w:rFonts w:ascii="Arial" w:eastAsia="Times New Roman" w:hAnsi="Arial" w:cs="Arial"/>
                <w:lang w:val="en" w:eastAsia="en-GB"/>
              </w:rPr>
              <w:t>Schedule 1 part 1 (2) of DPA 2018 for ‘Health or Social Care Purposes</w:t>
            </w:r>
            <w:r>
              <w:rPr>
                <w:rFonts w:ascii="Arial" w:eastAsia="Times New Roman" w:hAnsi="Arial" w:cs="Arial"/>
                <w:lang w:val="en" w:eastAsia="en-GB"/>
              </w:rPr>
              <w:t>’</w:t>
            </w:r>
          </w:p>
        </w:tc>
      </w:tr>
      <w:tr w:rsidR="00975D3C" w14:paraId="2B488352" w14:textId="77777777" w:rsidTr="007E4B96">
        <w:tc>
          <w:tcPr>
            <w:tcW w:w="2518"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6724" w:type="dxa"/>
          </w:tcPr>
          <w:p w14:paraId="668BDF1E" w14:textId="77777777" w:rsidR="003E3340" w:rsidRDefault="003E3340" w:rsidP="003E3340">
            <w:pPr>
              <w:spacing w:before="100" w:beforeAutospacing="1" w:after="100" w:afterAutospacing="1"/>
              <w:outlineLvl w:val="2"/>
              <w:rPr>
                <w:rFonts w:ascii="Arial" w:eastAsia="Times New Roman" w:hAnsi="Arial" w:cs="Arial"/>
                <w:bCs/>
                <w:lang w:val="en" w:eastAsia="en-GB"/>
              </w:rPr>
            </w:pPr>
            <w:r>
              <w:rPr>
                <w:rFonts w:ascii="Arial" w:eastAsia="Times New Roman" w:hAnsi="Arial" w:cs="Arial"/>
                <w:bCs/>
                <w:lang w:val="en" w:eastAsia="en-GB"/>
              </w:rPr>
              <w:t>A Section 251 approval from the Secretary of State, through the Confidentiality Advisory Group of the Health Research Authority enables the use of the pseudonymised information by the organisations who submitted the information whose patients the dataset relates to.</w:t>
            </w:r>
          </w:p>
          <w:p w14:paraId="323B62C2" w14:textId="6818D888" w:rsidR="000A7DCC" w:rsidRPr="000A7DCC" w:rsidRDefault="003E3340" w:rsidP="00DD1922">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 xml:space="preserve">Further information on Section 251 can be obtained by </w:t>
            </w:r>
            <w:hyperlink r:id="rId11" w:history="1">
              <w:r>
                <w:rPr>
                  <w:rStyle w:val="Hyperlink"/>
                  <w:rFonts w:ascii="Arial" w:eastAsia="Times New Roman" w:hAnsi="Arial" w:cs="Arial"/>
                  <w:color w:val="0000FF"/>
                  <w:lang w:val="en" w:eastAsia="en-GB"/>
                </w:rPr>
                <w:t>clicking here</w:t>
              </w:r>
            </w:hyperlink>
            <w:r>
              <w:rPr>
                <w:rFonts w:ascii="Arial" w:eastAsia="Times New Roman" w:hAnsi="Arial" w:cs="Arial"/>
                <w:lang w:val="en" w:eastAsia="en-GB"/>
              </w:rPr>
              <w:t xml:space="preserve">.  The reference number for the commissioning data sets approval is </w:t>
            </w:r>
            <w:hyperlink r:id="rId12" w:history="1">
              <w:r>
                <w:rPr>
                  <w:rStyle w:val="Hyperlink"/>
                  <w:rFonts w:ascii="Arial" w:eastAsia="Times New Roman" w:hAnsi="Arial" w:cs="Arial"/>
                  <w:lang w:val="en" w:eastAsia="en-GB"/>
                </w:rPr>
                <w:t>CAG 2-03(a)/2013</w:t>
              </w:r>
            </w:hyperlink>
            <w:r>
              <w:rPr>
                <w:rFonts w:ascii="Arial" w:eastAsia="Times New Roman" w:hAnsi="Arial" w:cs="Arial"/>
                <w:lang w:val="en" w:eastAsia="en-GB"/>
              </w:rPr>
              <w:t xml:space="preserve">.  </w:t>
            </w:r>
          </w:p>
        </w:tc>
      </w:tr>
      <w:tr w:rsidR="00DB4F29" w14:paraId="2612E712" w14:textId="77777777" w:rsidTr="00650ABC">
        <w:trPr>
          <w:trHeight w:val="1283"/>
        </w:trPr>
        <w:tc>
          <w:tcPr>
            <w:tcW w:w="2518" w:type="dxa"/>
          </w:tcPr>
          <w:p w14:paraId="6D5E43D8" w14:textId="42304660" w:rsidR="00DB4F29" w:rsidRPr="00DA3EDA" w:rsidRDefault="00DB4F29" w:rsidP="00DD1922">
            <w:pPr>
              <w:rPr>
                <w:rFonts w:ascii="Arial" w:hAnsi="Arial" w:cs="Arial"/>
                <w:b/>
              </w:rPr>
            </w:pPr>
            <w:r w:rsidRPr="00DA3EDA">
              <w:rPr>
                <w:rFonts w:ascii="Arial" w:hAnsi="Arial" w:cs="Arial"/>
                <w:b/>
              </w:rPr>
              <w:t>Data Processors</w:t>
            </w:r>
          </w:p>
        </w:tc>
        <w:tc>
          <w:tcPr>
            <w:tcW w:w="6724" w:type="dxa"/>
          </w:tcPr>
          <w:p w14:paraId="545D9B12" w14:textId="3E579D09" w:rsidR="00DB4F29" w:rsidRPr="00650ABC" w:rsidRDefault="00650ABC" w:rsidP="00650ABC">
            <w:pPr>
              <w:spacing w:before="100" w:beforeAutospacing="1" w:after="100" w:afterAutospacing="1"/>
              <w:outlineLvl w:val="2"/>
              <w:rPr>
                <w:rFonts w:ascii="Arial" w:eastAsia="Times New Roman" w:hAnsi="Arial" w:cs="Arial"/>
                <w:bCs/>
                <w:lang w:eastAsia="en-GB"/>
              </w:rPr>
            </w:pPr>
            <w:r>
              <w:rPr>
                <w:rFonts w:ascii="Arial" w:eastAsia="Times New Roman" w:hAnsi="Arial" w:cs="Arial"/>
                <w:bCs/>
                <w:lang w:eastAsia="en-GB"/>
              </w:rPr>
              <w:t>The ICB uses the services of the North of England Commissioning Support Unit</w:t>
            </w:r>
            <w:r w:rsidR="00DD1922">
              <w:rPr>
                <w:rFonts w:ascii="Arial" w:eastAsia="Times New Roman" w:hAnsi="Arial" w:cs="Arial"/>
                <w:bCs/>
                <w:lang w:eastAsia="en-GB"/>
              </w:rPr>
              <w:t xml:space="preserve"> (NECSU)</w:t>
            </w:r>
            <w:r>
              <w:rPr>
                <w:rFonts w:ascii="Arial" w:eastAsia="Times New Roman" w:hAnsi="Arial" w:cs="Arial"/>
                <w:bCs/>
                <w:lang w:eastAsia="en-GB"/>
              </w:rPr>
              <w:t xml:space="preserve"> to provide an anonymised information service to identify trends and effectively target service provision.</w:t>
            </w:r>
          </w:p>
        </w:tc>
      </w:tr>
      <w:tr w:rsidR="00DB4F29" w14:paraId="218BFA80" w14:textId="77777777" w:rsidTr="007E4B96">
        <w:tc>
          <w:tcPr>
            <w:tcW w:w="2518" w:type="dxa"/>
          </w:tcPr>
          <w:p w14:paraId="3E3755BC" w14:textId="77777777" w:rsidR="00DB4F29" w:rsidRPr="004775F6" w:rsidRDefault="00DB4F29">
            <w:pPr>
              <w:rPr>
                <w:rFonts w:ascii="Arial" w:eastAsia="Times New Roman" w:hAnsi="Arial" w:cs="Arial"/>
                <w:b/>
                <w:bCs/>
                <w:color w:val="231F20"/>
                <w:lang w:eastAsia="en-GB"/>
              </w:rPr>
            </w:pPr>
            <w:r w:rsidRPr="004775F6">
              <w:rPr>
                <w:rFonts w:ascii="Arial" w:eastAsia="Times New Roman" w:hAnsi="Arial" w:cs="Arial"/>
                <w:b/>
                <w:bCs/>
                <w:color w:val="231F20"/>
                <w:lang w:eastAsia="en-GB"/>
              </w:rPr>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724" w:type="dxa"/>
          </w:tcPr>
          <w:p w14:paraId="4E569742" w14:textId="2DF96DDC" w:rsidR="005A578F" w:rsidRPr="004232BF" w:rsidRDefault="005A578F" w:rsidP="00C9694D">
            <w:pPr>
              <w:spacing w:line="312" w:lineRule="auto"/>
              <w:ind w:left="300"/>
              <w:rPr>
                <w:rFonts w:ascii="Arial" w:eastAsia="Times New Roman" w:hAnsi="Arial" w:cs="Arial"/>
                <w:color w:val="231F20"/>
                <w:lang w:eastAsia="en-GB"/>
              </w:rPr>
            </w:pPr>
            <w:r w:rsidRPr="004232BF">
              <w:rPr>
                <w:rFonts w:ascii="Arial" w:eastAsia="Times New Roman" w:hAnsi="Arial" w:cs="Arial"/>
                <w:color w:val="231F20"/>
                <w:lang w:eastAsia="en-GB"/>
              </w:rPr>
              <w:t>• To be informed about the processing of your information (this notice)</w:t>
            </w:r>
          </w:p>
          <w:p w14:paraId="6AF59524" w14:textId="77777777" w:rsidR="005A578F" w:rsidRPr="004232BF" w:rsidRDefault="005A578F" w:rsidP="005A578F">
            <w:pPr>
              <w:spacing w:line="312" w:lineRule="auto"/>
              <w:ind w:left="300"/>
              <w:rPr>
                <w:rFonts w:ascii="Arial" w:eastAsia="Times New Roman" w:hAnsi="Arial" w:cs="Arial"/>
                <w:color w:val="231F20"/>
                <w:lang w:eastAsia="en-GB"/>
              </w:rPr>
            </w:pPr>
            <w:r w:rsidRPr="004232BF">
              <w:rPr>
                <w:rFonts w:ascii="Arial" w:eastAsia="Times New Roman" w:hAnsi="Arial" w:cs="Arial"/>
                <w:color w:val="231F20"/>
                <w:lang w:eastAsia="en-GB"/>
              </w:rPr>
              <w:t>• Of access to information held about you</w:t>
            </w:r>
          </w:p>
          <w:p w14:paraId="6A6781EF" w14:textId="5E747AF6" w:rsidR="005A578F" w:rsidRPr="004232BF" w:rsidRDefault="005A578F" w:rsidP="005A578F">
            <w:pPr>
              <w:spacing w:line="312" w:lineRule="auto"/>
              <w:ind w:left="300"/>
              <w:rPr>
                <w:rFonts w:ascii="Arial" w:eastAsia="Times New Roman" w:hAnsi="Arial" w:cs="Arial"/>
                <w:color w:val="231F20"/>
                <w:lang w:eastAsia="en-GB"/>
              </w:rPr>
            </w:pPr>
            <w:r w:rsidRPr="004232BF">
              <w:rPr>
                <w:rFonts w:ascii="Arial" w:eastAsia="Times New Roman" w:hAnsi="Arial" w:cs="Arial"/>
                <w:color w:val="231F20"/>
                <w:lang w:eastAsia="en-GB"/>
              </w:rPr>
              <w:t>• Have the information corrected</w:t>
            </w:r>
            <w:r>
              <w:rPr>
                <w:rFonts w:ascii="Arial" w:eastAsia="Times New Roman" w:hAnsi="Arial" w:cs="Arial"/>
                <w:color w:val="231F20"/>
                <w:lang w:eastAsia="en-GB"/>
              </w:rPr>
              <w:t>,</w:t>
            </w:r>
            <w:r w:rsidRPr="004232BF">
              <w:rPr>
                <w:rFonts w:ascii="Arial" w:eastAsia="Times New Roman" w:hAnsi="Arial" w:cs="Arial"/>
                <w:color w:val="231F20"/>
                <w:lang w:eastAsia="en-GB"/>
              </w:rPr>
              <w:t xml:space="preserve"> </w:t>
            </w:r>
            <w:proofErr w:type="gramStart"/>
            <w:r w:rsidRPr="004232BF">
              <w:rPr>
                <w:rFonts w:ascii="Arial" w:eastAsia="Times New Roman" w:hAnsi="Arial" w:cs="Arial"/>
                <w:color w:val="231F20"/>
                <w:lang w:eastAsia="en-GB"/>
              </w:rPr>
              <w:t>in the event that</w:t>
            </w:r>
            <w:proofErr w:type="gramEnd"/>
            <w:r w:rsidRPr="004232BF">
              <w:rPr>
                <w:rFonts w:ascii="Arial" w:eastAsia="Times New Roman" w:hAnsi="Arial" w:cs="Arial"/>
                <w:color w:val="231F20"/>
                <w:lang w:eastAsia="en-GB"/>
              </w:rPr>
              <w:t xml:space="preserve"> it is </w:t>
            </w:r>
          </w:p>
          <w:p w14:paraId="1FF09168" w14:textId="77777777" w:rsidR="005A578F" w:rsidRPr="004232BF" w:rsidRDefault="005A578F" w:rsidP="005A578F">
            <w:pPr>
              <w:spacing w:line="312" w:lineRule="auto"/>
              <w:ind w:left="300"/>
              <w:rPr>
                <w:rFonts w:ascii="Arial" w:eastAsia="Times New Roman" w:hAnsi="Arial" w:cs="Arial"/>
                <w:color w:val="231F20"/>
                <w:lang w:eastAsia="en-GB"/>
              </w:rPr>
            </w:pPr>
            <w:r w:rsidRPr="004232BF">
              <w:rPr>
                <w:rFonts w:ascii="Arial" w:eastAsia="Times New Roman" w:hAnsi="Arial" w:cs="Arial"/>
                <w:color w:val="231F20"/>
                <w:lang w:eastAsia="en-GB"/>
              </w:rPr>
              <w:t>inaccurate</w:t>
            </w:r>
          </w:p>
          <w:p w14:paraId="6B07059D" w14:textId="77777777" w:rsidR="005A578F" w:rsidRPr="004232BF" w:rsidRDefault="005A578F" w:rsidP="005A578F">
            <w:pPr>
              <w:spacing w:line="312" w:lineRule="auto"/>
              <w:ind w:left="300"/>
              <w:rPr>
                <w:rFonts w:ascii="Arial" w:eastAsia="Times New Roman" w:hAnsi="Arial" w:cs="Arial"/>
                <w:color w:val="231F20"/>
                <w:lang w:eastAsia="en-GB"/>
              </w:rPr>
            </w:pPr>
            <w:r w:rsidRPr="004232BF">
              <w:rPr>
                <w:rFonts w:ascii="Arial" w:eastAsia="Times New Roman" w:hAnsi="Arial" w:cs="Arial"/>
                <w:color w:val="231F20"/>
                <w:lang w:eastAsia="en-GB"/>
              </w:rPr>
              <w:t>• To restrict or stop processing</w:t>
            </w:r>
          </w:p>
          <w:p w14:paraId="076F5924" w14:textId="77777777" w:rsidR="005A578F" w:rsidRPr="004232BF" w:rsidRDefault="005A578F" w:rsidP="005A578F">
            <w:pPr>
              <w:spacing w:line="312" w:lineRule="auto"/>
              <w:ind w:left="300"/>
              <w:rPr>
                <w:rFonts w:ascii="Arial" w:eastAsia="Times New Roman" w:hAnsi="Arial" w:cs="Arial"/>
                <w:color w:val="231F20"/>
                <w:lang w:eastAsia="en-GB"/>
              </w:rPr>
            </w:pPr>
            <w:r w:rsidRPr="004232BF">
              <w:rPr>
                <w:rFonts w:ascii="Arial" w:eastAsia="Times New Roman" w:hAnsi="Arial" w:cs="Arial"/>
                <w:color w:val="231F20"/>
                <w:lang w:eastAsia="en-GB"/>
              </w:rPr>
              <w:t>• Object to it being processed or used</w:t>
            </w:r>
          </w:p>
          <w:p w14:paraId="30289FEC" w14:textId="661F6BB9" w:rsidR="00DB4F29" w:rsidRPr="00AD4CAF" w:rsidRDefault="005A578F" w:rsidP="005A578F">
            <w:pPr>
              <w:spacing w:line="312" w:lineRule="auto"/>
              <w:ind w:left="300"/>
              <w:rPr>
                <w:rFonts w:ascii="Arial" w:eastAsia="Times New Roman" w:hAnsi="Arial" w:cs="Arial"/>
                <w:color w:val="231F20"/>
                <w:lang w:eastAsia="en-GB"/>
              </w:rPr>
            </w:pPr>
            <w:r w:rsidRPr="004232BF">
              <w:rPr>
                <w:rFonts w:ascii="Arial" w:eastAsia="Times New Roman" w:hAnsi="Arial" w:cs="Arial"/>
                <w:color w:val="231F20"/>
                <w:lang w:eastAsia="en-GB"/>
              </w:rPr>
              <w:lastRenderedPageBreak/>
              <w:t>• Not to be subject automated decision-taking or profiling</w:t>
            </w:r>
          </w:p>
        </w:tc>
      </w:tr>
      <w:tr w:rsidR="00DB4F29" w14:paraId="562F6B8A" w14:textId="77777777" w:rsidTr="007E4B96">
        <w:tc>
          <w:tcPr>
            <w:tcW w:w="2518" w:type="dxa"/>
          </w:tcPr>
          <w:p w14:paraId="1215CB35" w14:textId="77777777" w:rsidR="00DB4F29" w:rsidRPr="00DA3EDA" w:rsidRDefault="00DB4F29">
            <w:pPr>
              <w:rPr>
                <w:rFonts w:ascii="Arial" w:hAnsi="Arial" w:cs="Arial"/>
                <w:b/>
              </w:rPr>
            </w:pPr>
            <w:r w:rsidRPr="00DA3EDA">
              <w:rPr>
                <w:rFonts w:ascii="Arial" w:hAnsi="Arial" w:cs="Arial"/>
                <w:b/>
              </w:rPr>
              <w:lastRenderedPageBreak/>
              <w:t>How long we will keep the 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724" w:type="dxa"/>
          </w:tcPr>
          <w:p w14:paraId="133A451B" w14:textId="64CD2BCC" w:rsidR="00D508CB"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sidR="00AE33E7">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Records Management Code of Practice</w:t>
            </w:r>
            <w:r>
              <w:rPr>
                <w:rFonts w:ascii="Arial" w:eastAsia="Times New Roman" w:hAnsi="Arial" w:cs="Arial"/>
                <w:lang w:val="en" w:eastAsia="en-GB"/>
              </w:rPr>
              <w:t>.</w:t>
            </w:r>
          </w:p>
          <w:p w14:paraId="2E4E132D" w14:textId="3A30BB7B" w:rsidR="00BC2988" w:rsidRDefault="00A90DD5" w:rsidP="00D508CB">
            <w:pPr>
              <w:spacing w:before="100" w:beforeAutospacing="1" w:after="100" w:afterAutospacing="1"/>
              <w:rPr>
                <w:rFonts w:ascii="Arial" w:hAnsi="Arial" w:cs="Arial"/>
                <w:color w:val="0000FF"/>
                <w:u w:val="single"/>
              </w:rPr>
            </w:pPr>
            <w:hyperlink r:id="rId13" w:history="1">
              <w:r w:rsidR="00DD1922">
                <w:rPr>
                  <w:rFonts w:ascii="Arial" w:hAnsi="Arial" w:cs="Arial"/>
                  <w:color w:val="0000FF"/>
                  <w:u w:val="single"/>
                </w:rPr>
                <w:t xml:space="preserve">Records </w:t>
              </w:r>
              <w:r w:rsidR="00DD1922">
                <w:rPr>
                  <w:rFonts w:ascii="Arial" w:hAnsi="Arial" w:cs="Arial"/>
                  <w:color w:val="0000FF"/>
                  <w:u w:val="single"/>
                </w:rPr>
                <w:t>M</w:t>
              </w:r>
              <w:r w:rsidR="00DD1922">
                <w:rPr>
                  <w:rFonts w:ascii="Arial" w:hAnsi="Arial" w:cs="Arial"/>
                  <w:color w:val="0000FF"/>
                  <w:u w:val="single"/>
                </w:rPr>
                <w:t>anagement Code of Practice - NHS Transformation Direc</w:t>
              </w:r>
              <w:r w:rsidR="00DD1922">
                <w:rPr>
                  <w:rFonts w:ascii="Arial" w:hAnsi="Arial" w:cs="Arial"/>
                  <w:color w:val="0000FF"/>
                  <w:u w:val="single"/>
                </w:rPr>
                <w:t>t</w:t>
              </w:r>
              <w:r w:rsidR="00DD1922">
                <w:rPr>
                  <w:rFonts w:ascii="Arial" w:hAnsi="Arial" w:cs="Arial"/>
                  <w:color w:val="0000FF"/>
                  <w:u w:val="single"/>
                </w:rPr>
                <w:t>orate (nhse.nhs.uk)</w:t>
              </w:r>
            </w:hyperlink>
          </w:p>
          <w:p w14:paraId="05603073" w14:textId="6D027B4B" w:rsidR="00050CC5" w:rsidRPr="00BC2988" w:rsidRDefault="00BC2988" w:rsidP="00DD1922">
            <w:pPr>
              <w:spacing w:before="100" w:beforeAutospacing="1"/>
              <w:rPr>
                <w:rFonts w:ascii="Arial" w:hAnsi="Arial" w:cs="Arial"/>
              </w:rPr>
            </w:pPr>
            <w:r>
              <w:rPr>
                <w:rFonts w:ascii="Arial" w:hAnsi="Arial" w:cs="Arial"/>
              </w:rPr>
              <w:t xml:space="preserve">Data disclosed by NHS </w:t>
            </w:r>
            <w:r w:rsidR="00DD1922">
              <w:rPr>
                <w:rFonts w:ascii="Arial" w:hAnsi="Arial" w:cs="Arial"/>
              </w:rPr>
              <w:t>England</w:t>
            </w:r>
            <w:r>
              <w:rPr>
                <w:rFonts w:ascii="Arial" w:hAnsi="Arial" w:cs="Arial"/>
              </w:rPr>
              <w:t xml:space="preserve"> to the ICB will be deleted with immediate effect in accordance with the retention periods set out in the Data Sharing agreements. </w:t>
            </w:r>
          </w:p>
        </w:tc>
      </w:tr>
      <w:tr w:rsidR="00650ABC" w14:paraId="66586519" w14:textId="77777777" w:rsidTr="007E4B96">
        <w:tc>
          <w:tcPr>
            <w:tcW w:w="2518" w:type="dxa"/>
          </w:tcPr>
          <w:p w14:paraId="485DC74E" w14:textId="77777777" w:rsidR="00650ABC" w:rsidRDefault="00650ABC">
            <w:pPr>
              <w:rPr>
                <w:rFonts w:ascii="Arial" w:hAnsi="Arial" w:cs="Arial"/>
                <w:b/>
              </w:rPr>
            </w:pPr>
            <w:proofErr w:type="spellStart"/>
            <w:r>
              <w:rPr>
                <w:rFonts w:ascii="Arial" w:hAnsi="Arial" w:cs="Arial"/>
                <w:b/>
              </w:rPr>
              <w:t>Opt</w:t>
            </w:r>
            <w:proofErr w:type="spellEnd"/>
            <w:r>
              <w:rPr>
                <w:rFonts w:ascii="Arial" w:hAnsi="Arial" w:cs="Arial"/>
                <w:b/>
              </w:rPr>
              <w:t>- out</w:t>
            </w:r>
          </w:p>
          <w:p w14:paraId="00532A31" w14:textId="726C8601" w:rsidR="000A7DCC" w:rsidRPr="00DA3EDA" w:rsidRDefault="000A7DCC">
            <w:pPr>
              <w:rPr>
                <w:rFonts w:ascii="Arial" w:hAnsi="Arial" w:cs="Arial"/>
                <w:b/>
              </w:rPr>
            </w:pPr>
          </w:p>
        </w:tc>
        <w:tc>
          <w:tcPr>
            <w:tcW w:w="6724" w:type="dxa"/>
          </w:tcPr>
          <w:p w14:paraId="1186402B" w14:textId="0BBF689C" w:rsidR="00650ABC" w:rsidRPr="00C44A0F" w:rsidRDefault="00FF3FE2" w:rsidP="00D508CB">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You have the right to opt-out of your identifiable information being used for Commissioning purposes. Please see the main notice for information on how to do this.</w:t>
            </w:r>
          </w:p>
        </w:tc>
      </w:tr>
    </w:tbl>
    <w:p w14:paraId="743D7D13" w14:textId="77777777" w:rsidR="007E4B96" w:rsidRPr="007E4B96" w:rsidRDefault="007E4B96">
      <w:pPr>
        <w:rPr>
          <w:sz w:val="28"/>
          <w:szCs w:val="28"/>
        </w:rPr>
      </w:pPr>
    </w:p>
    <w:sectPr w:rsidR="007E4B96" w:rsidRPr="007E4B96" w:rsidSect="00F15657">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291C" w14:textId="77777777" w:rsidR="00A925F4" w:rsidRDefault="00A925F4" w:rsidP="007E4B96">
      <w:pPr>
        <w:spacing w:after="0" w:line="240" w:lineRule="auto"/>
      </w:pPr>
      <w:r>
        <w:separator/>
      </w:r>
    </w:p>
  </w:endnote>
  <w:endnote w:type="continuationSeparator" w:id="0">
    <w:p w14:paraId="3C3B9BDA" w14:textId="77777777" w:rsidR="00A925F4" w:rsidRDefault="00A925F4"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058F" w14:textId="7588A97D" w:rsidR="00783F6D" w:rsidRPr="00F15657" w:rsidRDefault="00AE33E7" w:rsidP="00783F6D">
    <w:pPr>
      <w:pStyle w:val="Footer"/>
      <w:rPr>
        <w:rFonts w:ascii="Arial" w:hAnsi="Arial" w:cs="Arial"/>
        <w:sz w:val="16"/>
        <w:szCs w:val="16"/>
      </w:rPr>
    </w:pPr>
    <w:r>
      <w:rPr>
        <w:rFonts w:ascii="Arial" w:hAnsi="Arial" w:cs="Arial"/>
        <w:sz w:val="16"/>
        <w:szCs w:val="16"/>
      </w:rPr>
      <w:t>April</w:t>
    </w:r>
    <w:r w:rsidR="00783F6D" w:rsidRPr="00F15657">
      <w:rPr>
        <w:rFonts w:ascii="Arial" w:hAnsi="Arial" w:cs="Arial"/>
        <w:sz w:val="16"/>
        <w:szCs w:val="16"/>
      </w:rPr>
      <w:t xml:space="preserve"> 202</w:t>
    </w:r>
    <w:r>
      <w:rPr>
        <w:rFonts w:ascii="Arial" w:hAnsi="Arial" w:cs="Arial"/>
        <w:sz w:val="16"/>
        <w:szCs w:val="16"/>
      </w:rPr>
      <w:t>5</w:t>
    </w:r>
    <w:r w:rsidR="00783F6D" w:rsidRPr="00F15657">
      <w:rPr>
        <w:rFonts w:ascii="Arial" w:hAnsi="Arial" w:cs="Arial"/>
        <w:sz w:val="16"/>
        <w:szCs w:val="16"/>
      </w:rPr>
      <w:t>- V</w:t>
    </w:r>
    <w:r>
      <w:rPr>
        <w:rFonts w:ascii="Arial" w:hAnsi="Arial" w:cs="Arial"/>
        <w:sz w:val="16"/>
        <w:szCs w:val="16"/>
      </w:rPr>
      <w:t>2</w:t>
    </w:r>
    <w:r w:rsidR="00783F6D">
      <w:rPr>
        <w:rFonts w:ascii="Arial" w:hAnsi="Arial" w:cs="Arial"/>
        <w:sz w:val="16"/>
        <w:szCs w:val="16"/>
      </w:rPr>
      <w:t>.0</w:t>
    </w:r>
  </w:p>
  <w:p w14:paraId="6CE72AA8" w14:textId="77777777" w:rsidR="00BD6BFF" w:rsidRDefault="00BD6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34622D2A" w:rsidR="00F15657" w:rsidRPr="00F15657" w:rsidRDefault="00AE33E7">
    <w:pPr>
      <w:pStyle w:val="Footer"/>
      <w:rPr>
        <w:rFonts w:ascii="Arial" w:hAnsi="Arial" w:cs="Arial"/>
        <w:sz w:val="16"/>
        <w:szCs w:val="16"/>
      </w:rPr>
    </w:pPr>
    <w:bookmarkStart w:id="0" w:name="_Hlk110247918"/>
    <w:r>
      <w:rPr>
        <w:rFonts w:ascii="Arial" w:hAnsi="Arial" w:cs="Arial"/>
        <w:sz w:val="16"/>
        <w:szCs w:val="16"/>
      </w:rPr>
      <w:t>April 2025</w:t>
    </w:r>
    <w:r w:rsidR="00F15657" w:rsidRPr="00F15657">
      <w:rPr>
        <w:rFonts w:ascii="Arial" w:hAnsi="Arial" w:cs="Arial"/>
        <w:sz w:val="16"/>
        <w:szCs w:val="16"/>
      </w:rPr>
      <w:t>- V</w:t>
    </w:r>
    <w:r>
      <w:rPr>
        <w:rFonts w:ascii="Arial" w:hAnsi="Arial" w:cs="Arial"/>
        <w:sz w:val="16"/>
        <w:szCs w:val="16"/>
      </w:rPr>
      <w:t>2</w:t>
    </w:r>
    <w:r w:rsidR="00BD6BFF">
      <w:rPr>
        <w:rFonts w:ascii="Arial" w:hAnsi="Arial" w:cs="Arial"/>
        <w:sz w:val="16"/>
        <w:szCs w:val="16"/>
      </w:rPr>
      <w:t>.0</w:t>
    </w:r>
  </w:p>
  <w:bookmarkEnd w:id="0"/>
  <w:p w14:paraId="238EA945" w14:textId="77777777" w:rsidR="00BD6BFF" w:rsidRDefault="00BD6B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13891" w14:textId="77777777" w:rsidR="00A925F4" w:rsidRDefault="00A925F4" w:rsidP="007E4B96">
      <w:pPr>
        <w:spacing w:after="0" w:line="240" w:lineRule="auto"/>
      </w:pPr>
      <w:r>
        <w:separator/>
      </w:r>
    </w:p>
  </w:footnote>
  <w:footnote w:type="continuationSeparator" w:id="0">
    <w:p w14:paraId="2B5DB4EC" w14:textId="77777777" w:rsidR="00A925F4" w:rsidRDefault="00A925F4"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834ABE"/>
    <w:multiLevelType w:val="multilevel"/>
    <w:tmpl w:val="3C8AF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698457">
    <w:abstractNumId w:val="2"/>
  </w:num>
  <w:num w:numId="2" w16cid:durableId="997926821">
    <w:abstractNumId w:val="0"/>
  </w:num>
  <w:num w:numId="3" w16cid:durableId="79563205">
    <w:abstractNumId w:val="1"/>
  </w:num>
  <w:num w:numId="4" w16cid:durableId="573245766">
    <w:abstractNumId w:val="3"/>
  </w:num>
  <w:num w:numId="5" w16cid:durableId="216936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45C78"/>
    <w:rsid w:val="00050CC5"/>
    <w:rsid w:val="0009583B"/>
    <w:rsid w:val="000A7DCC"/>
    <w:rsid w:val="00150651"/>
    <w:rsid w:val="002B5DA5"/>
    <w:rsid w:val="002E6FED"/>
    <w:rsid w:val="0033130B"/>
    <w:rsid w:val="00383C64"/>
    <w:rsid w:val="003E3340"/>
    <w:rsid w:val="004218BF"/>
    <w:rsid w:val="00461F2C"/>
    <w:rsid w:val="004775F6"/>
    <w:rsid w:val="00484B65"/>
    <w:rsid w:val="005A2AEF"/>
    <w:rsid w:val="005A578F"/>
    <w:rsid w:val="00650ABC"/>
    <w:rsid w:val="006661B3"/>
    <w:rsid w:val="006A470A"/>
    <w:rsid w:val="006F1071"/>
    <w:rsid w:val="006F77D2"/>
    <w:rsid w:val="007450AC"/>
    <w:rsid w:val="0075433B"/>
    <w:rsid w:val="007565D7"/>
    <w:rsid w:val="00783F6D"/>
    <w:rsid w:val="007E4B96"/>
    <w:rsid w:val="008B20D6"/>
    <w:rsid w:val="008E47E6"/>
    <w:rsid w:val="009613B8"/>
    <w:rsid w:val="0096596E"/>
    <w:rsid w:val="00975D3C"/>
    <w:rsid w:val="00981E00"/>
    <w:rsid w:val="00991C38"/>
    <w:rsid w:val="00A353CD"/>
    <w:rsid w:val="00A715B5"/>
    <w:rsid w:val="00A90DD5"/>
    <w:rsid w:val="00A925F4"/>
    <w:rsid w:val="00AD3EED"/>
    <w:rsid w:val="00AD4CAF"/>
    <w:rsid w:val="00AE33E7"/>
    <w:rsid w:val="00B00861"/>
    <w:rsid w:val="00B0208A"/>
    <w:rsid w:val="00B106EF"/>
    <w:rsid w:val="00B32DF7"/>
    <w:rsid w:val="00BB56E7"/>
    <w:rsid w:val="00BC2988"/>
    <w:rsid w:val="00BD6BFF"/>
    <w:rsid w:val="00C31054"/>
    <w:rsid w:val="00C35259"/>
    <w:rsid w:val="00C44685"/>
    <w:rsid w:val="00C44A0F"/>
    <w:rsid w:val="00C746B1"/>
    <w:rsid w:val="00C86DE9"/>
    <w:rsid w:val="00C9694D"/>
    <w:rsid w:val="00CB3444"/>
    <w:rsid w:val="00CC2492"/>
    <w:rsid w:val="00CD6BD8"/>
    <w:rsid w:val="00CF6EAE"/>
    <w:rsid w:val="00CF785B"/>
    <w:rsid w:val="00D16415"/>
    <w:rsid w:val="00D21FEF"/>
    <w:rsid w:val="00D508CB"/>
    <w:rsid w:val="00D6333E"/>
    <w:rsid w:val="00DA3EDA"/>
    <w:rsid w:val="00DB4F29"/>
    <w:rsid w:val="00DC0E91"/>
    <w:rsid w:val="00DD1922"/>
    <w:rsid w:val="00DD50D2"/>
    <w:rsid w:val="00DE5CA8"/>
    <w:rsid w:val="00E6184B"/>
    <w:rsid w:val="00ED6288"/>
    <w:rsid w:val="00F15657"/>
    <w:rsid w:val="00F6185A"/>
    <w:rsid w:val="00FC20AF"/>
    <w:rsid w:val="00FF3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character" w:styleId="FollowedHyperlink">
    <w:name w:val="FollowedHyperlink"/>
    <w:basedOn w:val="DefaultParagraphFont"/>
    <w:uiPriority w:val="99"/>
    <w:semiHidden/>
    <w:unhideWhenUsed/>
    <w:rsid w:val="00D16415"/>
    <w:rPr>
      <w:color w:val="800080" w:themeColor="followedHyperlink"/>
      <w:u w:val="single"/>
    </w:rPr>
  </w:style>
  <w:style w:type="paragraph" w:styleId="NormalWeb">
    <w:name w:val="Normal (Web)"/>
    <w:basedOn w:val="Normal"/>
    <w:uiPriority w:val="99"/>
    <w:semiHidden/>
    <w:unhideWhenUsed/>
    <w:rsid w:val="00B008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248">
      <w:bodyDiv w:val="1"/>
      <w:marLeft w:val="0"/>
      <w:marRight w:val="0"/>
      <w:marTop w:val="0"/>
      <w:marBottom w:val="0"/>
      <w:divBdr>
        <w:top w:val="none" w:sz="0" w:space="0" w:color="auto"/>
        <w:left w:val="none" w:sz="0" w:space="0" w:color="auto"/>
        <w:bottom w:val="none" w:sz="0" w:space="0" w:color="auto"/>
        <w:right w:val="none" w:sz="0" w:space="0" w:color="auto"/>
      </w:divBdr>
    </w:div>
    <w:div w:id="93983266">
      <w:bodyDiv w:val="1"/>
      <w:marLeft w:val="0"/>
      <w:marRight w:val="0"/>
      <w:marTop w:val="0"/>
      <w:marBottom w:val="0"/>
      <w:divBdr>
        <w:top w:val="none" w:sz="0" w:space="0" w:color="auto"/>
        <w:left w:val="none" w:sz="0" w:space="0" w:color="auto"/>
        <w:bottom w:val="none" w:sz="0" w:space="0" w:color="auto"/>
        <w:right w:val="none" w:sz="0" w:space="0" w:color="auto"/>
      </w:divBdr>
    </w:div>
    <w:div w:id="235095619">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1239442114">
      <w:bodyDiv w:val="1"/>
      <w:marLeft w:val="0"/>
      <w:marRight w:val="0"/>
      <w:marTop w:val="0"/>
      <w:marBottom w:val="0"/>
      <w:divBdr>
        <w:top w:val="none" w:sz="0" w:space="0" w:color="auto"/>
        <w:left w:val="none" w:sz="0" w:space="0" w:color="auto"/>
        <w:bottom w:val="none" w:sz="0" w:space="0" w:color="auto"/>
        <w:right w:val="none" w:sz="0" w:space="0" w:color="auto"/>
      </w:divBdr>
    </w:div>
    <w:div w:id="1739471663">
      <w:bodyDiv w:val="1"/>
      <w:marLeft w:val="0"/>
      <w:marRight w:val="0"/>
      <w:marTop w:val="0"/>
      <w:marBottom w:val="0"/>
      <w:divBdr>
        <w:top w:val="none" w:sz="0" w:space="0" w:color="auto"/>
        <w:left w:val="none" w:sz="0" w:space="0" w:color="auto"/>
        <w:bottom w:val="none" w:sz="0" w:space="0" w:color="auto"/>
        <w:right w:val="none" w:sz="0" w:space="0" w:color="auto"/>
      </w:divBdr>
    </w:div>
    <w:div w:id="17685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sets/commissioning-data-se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planning-and-improving-research/application-summaries/confidentiality-advisory-group-regist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about-the-hra/our-committees/section-251/what-is-section-25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dpr-info.eu/art-9-gdp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econdary-uses-service-su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2025-04-08T11:58:00Z</dcterms:created>
  <dcterms:modified xsi:type="dcterms:W3CDTF">2025-04-08T12:09:00Z</dcterms:modified>
</cp:coreProperties>
</file>