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FC" w:rsidRDefault="007B61FC" w:rsidP="007B61FC">
      <w:pPr>
        <w:pStyle w:val="Title"/>
        <w:pBdr>
          <w:bottom w:val="none" w:sz="0" w:space="0" w:color="auto"/>
        </w:pBdr>
        <w:rPr>
          <w:rFonts w:ascii="Arial" w:hAnsi="Arial" w:cs="Arial"/>
        </w:rPr>
      </w:pPr>
    </w:p>
    <w:p w:rsidR="00812B59" w:rsidRPr="007B61FC" w:rsidRDefault="00812B59" w:rsidP="007B61FC">
      <w:pPr>
        <w:pStyle w:val="Title"/>
        <w:pBdr>
          <w:bottom w:val="none" w:sz="0" w:space="0" w:color="auto"/>
        </w:pBdr>
        <w:rPr>
          <w:rFonts w:ascii="Arial" w:hAnsi="Arial" w:cs="Arial"/>
          <w:color w:val="auto"/>
        </w:rPr>
      </w:pPr>
      <w:r w:rsidRPr="007B61FC">
        <w:rPr>
          <w:rFonts w:ascii="Arial" w:hAnsi="Arial" w:cs="Arial"/>
          <w:color w:val="auto"/>
        </w:rPr>
        <w:t>Job Description</w:t>
      </w:r>
    </w:p>
    <w:tbl>
      <w:tblPr>
        <w:tblStyle w:val="LightList-Accent1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firstRow="1" w:lastRow="1" w:firstColumn="1" w:lastColumn="1" w:noHBand="0" w:noVBand="0"/>
      </w:tblPr>
      <w:tblGrid>
        <w:gridCol w:w="5341"/>
        <w:gridCol w:w="5341"/>
      </w:tblGrid>
      <w:tr w:rsidR="00AC4097" w:rsidRPr="00AC4097" w:rsidTr="007B6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hideMark/>
          </w:tcPr>
          <w:p w:rsidR="00812B59" w:rsidRDefault="00812B59">
            <w:pPr>
              <w:rPr>
                <w:rFonts w:ascii="Arial" w:hAnsi="Arial" w:cs="Arial"/>
                <w:color w:val="auto"/>
                <w:sz w:val="24"/>
                <w:szCs w:val="24"/>
              </w:rPr>
            </w:pPr>
            <w:r w:rsidRPr="007E30E8">
              <w:rPr>
                <w:rFonts w:ascii="Arial" w:hAnsi="Arial" w:cs="Arial"/>
                <w:color w:val="auto"/>
                <w:sz w:val="24"/>
                <w:szCs w:val="24"/>
              </w:rPr>
              <w:t>Job Title</w:t>
            </w:r>
          </w:p>
          <w:p w:rsidR="007E30E8" w:rsidRPr="007E30E8" w:rsidRDefault="007E30E8">
            <w:pPr>
              <w:rPr>
                <w:rFonts w:ascii="Arial" w:hAnsi="Arial" w:cs="Arial"/>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rsidR="00812B59" w:rsidRPr="007E30E8" w:rsidRDefault="00F24B7B" w:rsidP="00383F3B">
            <w:pPr>
              <w:jc w:val="center"/>
              <w:rPr>
                <w:rFonts w:ascii="Arial" w:hAnsi="Arial" w:cs="Arial"/>
                <w:color w:val="auto"/>
                <w:sz w:val="24"/>
                <w:szCs w:val="24"/>
              </w:rPr>
            </w:pPr>
            <w:r>
              <w:rPr>
                <w:rFonts w:ascii="Arial" w:hAnsi="Arial" w:cs="Arial"/>
                <w:color w:val="auto"/>
                <w:sz w:val="24"/>
                <w:szCs w:val="24"/>
              </w:rPr>
              <w:t xml:space="preserve">Engagement </w:t>
            </w:r>
            <w:r w:rsidR="00383F3B">
              <w:rPr>
                <w:rFonts w:ascii="Arial" w:hAnsi="Arial" w:cs="Arial"/>
                <w:color w:val="auto"/>
                <w:sz w:val="24"/>
                <w:szCs w:val="24"/>
              </w:rPr>
              <w:t>Manager</w:t>
            </w:r>
          </w:p>
        </w:tc>
      </w:tr>
      <w:tr w:rsidR="00AC4097" w:rsidRPr="00AC4097" w:rsidTr="007B61F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Directorate</w:t>
            </w:r>
          </w:p>
          <w:p w:rsidR="00812B59" w:rsidRPr="00AC4097" w:rsidRDefault="00812B59">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AC524E" w:rsidP="007E30E8">
            <w:pPr>
              <w:jc w:val="center"/>
              <w:rPr>
                <w:rFonts w:ascii="Arial" w:hAnsi="Arial" w:cs="Arial"/>
                <w:sz w:val="24"/>
                <w:szCs w:val="24"/>
              </w:rPr>
            </w:pPr>
            <w:r>
              <w:rPr>
                <w:rFonts w:ascii="Arial" w:hAnsi="Arial" w:cs="Arial"/>
                <w:sz w:val="24"/>
                <w:szCs w:val="24"/>
              </w:rPr>
              <w:t>ICS and CCGs Communications and Engagement</w:t>
            </w:r>
            <w:bookmarkStart w:id="0" w:name="_GoBack"/>
            <w:bookmarkEnd w:id="0"/>
          </w:p>
        </w:tc>
      </w:tr>
      <w:tr w:rsidR="00AC4097" w:rsidRPr="00AC4097" w:rsidTr="007B61FC">
        <w:trPr>
          <w:trHeight w:val="65"/>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Pay Band</w:t>
            </w:r>
          </w:p>
          <w:p w:rsidR="00812B59" w:rsidRPr="00AC4097" w:rsidRDefault="00812B59">
            <w:pPr>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hideMark/>
          </w:tcPr>
          <w:p w:rsidR="00812B59" w:rsidRPr="00AC4097" w:rsidRDefault="00756575">
            <w:pPr>
              <w:jc w:val="center"/>
              <w:rPr>
                <w:rFonts w:ascii="Arial" w:hAnsi="Arial" w:cs="Arial"/>
                <w:sz w:val="24"/>
                <w:szCs w:val="24"/>
              </w:rPr>
            </w:pPr>
            <w:r>
              <w:rPr>
                <w:rFonts w:ascii="Arial" w:hAnsi="Arial" w:cs="Arial"/>
                <w:sz w:val="24"/>
                <w:szCs w:val="24"/>
              </w:rPr>
              <w:t>7</w:t>
            </w:r>
          </w:p>
        </w:tc>
      </w:tr>
      <w:tr w:rsidR="007B61FC" w:rsidRPr="00862B13" w:rsidTr="007B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8496B0" w:themeColor="text2" w:themeTint="99"/>
            </w:tcBorders>
          </w:tcPr>
          <w:p w:rsidR="007B61FC" w:rsidRPr="00862B13" w:rsidRDefault="007B61FC" w:rsidP="00EB69C7">
            <w:pPr>
              <w:rPr>
                <w:rFonts w:ascii="Arial" w:hAnsi="Arial" w:cs="Arial"/>
                <w:sz w:val="24"/>
                <w:szCs w:val="24"/>
              </w:rPr>
            </w:pPr>
            <w:r w:rsidRPr="00862B13">
              <w:rPr>
                <w:rFonts w:ascii="Arial" w:hAnsi="Arial" w:cs="Arial"/>
                <w:sz w:val="24"/>
                <w:szCs w:val="24"/>
              </w:rPr>
              <w:t>Accountable to</w:t>
            </w:r>
          </w:p>
          <w:p w:rsidR="007B61FC" w:rsidRPr="00862B13" w:rsidRDefault="007B61FC" w:rsidP="00EB69C7">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left w:val="single" w:sz="4" w:space="0" w:color="8496B0" w:themeColor="text2" w:themeTint="99"/>
              <w:right w:val="single" w:sz="6" w:space="0" w:color="4472C4" w:themeColor="accent1"/>
            </w:tcBorders>
          </w:tcPr>
          <w:p w:rsidR="007B61FC" w:rsidRPr="00862B13" w:rsidRDefault="005D3F69" w:rsidP="00EB69C7">
            <w:pPr>
              <w:jc w:val="center"/>
              <w:rPr>
                <w:rFonts w:ascii="Arial" w:hAnsi="Arial" w:cs="Arial"/>
                <w:sz w:val="24"/>
                <w:szCs w:val="24"/>
              </w:rPr>
            </w:pPr>
            <w:r>
              <w:rPr>
                <w:rFonts w:ascii="Arial" w:hAnsi="Arial" w:cs="Arial"/>
                <w:sz w:val="24"/>
                <w:szCs w:val="24"/>
              </w:rPr>
              <w:t xml:space="preserve">Head of </w:t>
            </w:r>
            <w:r w:rsidR="003D754B">
              <w:rPr>
                <w:rFonts w:ascii="Arial" w:hAnsi="Arial" w:cs="Arial"/>
                <w:sz w:val="24"/>
                <w:szCs w:val="24"/>
              </w:rPr>
              <w:t xml:space="preserve">Insights and </w:t>
            </w:r>
            <w:r>
              <w:rPr>
                <w:rFonts w:ascii="Arial" w:hAnsi="Arial" w:cs="Arial"/>
                <w:sz w:val="24"/>
                <w:szCs w:val="24"/>
              </w:rPr>
              <w:t>Engagement</w:t>
            </w:r>
          </w:p>
        </w:tc>
      </w:tr>
      <w:tr w:rsidR="007B61FC" w:rsidRPr="00862B13" w:rsidTr="007B61FC">
        <w:trPr>
          <w:cnfStyle w:val="010000000000" w:firstRow="0" w:lastRow="1"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jc w:val="center"/>
              <w:rPr>
                <w:rFonts w:ascii="Arial" w:hAnsi="Arial" w:cs="Arial"/>
                <w:sz w:val="24"/>
                <w:szCs w:val="24"/>
              </w:rPr>
            </w:pPr>
          </w:p>
        </w:tc>
      </w:tr>
    </w:tbl>
    <w:tbl>
      <w:tblPr>
        <w:tblStyle w:val="TableGrid"/>
        <w:tblW w:w="10598" w:type="dxa"/>
        <w:jc w:val="center"/>
        <w:tblInd w:w="0" w:type="dxa"/>
        <w:tblLook w:val="04A0" w:firstRow="1" w:lastRow="0" w:firstColumn="1" w:lastColumn="0" w:noHBand="0" w:noVBand="1"/>
      </w:tblPr>
      <w:tblGrid>
        <w:gridCol w:w="10598"/>
      </w:tblGrid>
      <w:tr w:rsidR="00AC4097" w:rsidRPr="001D2200" w:rsidTr="007B61FC">
        <w:trPr>
          <w:jc w:val="center"/>
        </w:trPr>
        <w:tc>
          <w:tcPr>
            <w:tcW w:w="10598"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E712DB" w:rsidRPr="000F7002" w:rsidRDefault="00E712DB" w:rsidP="00E712DB">
            <w:pPr>
              <w:jc w:val="both"/>
              <w:rPr>
                <w:rFonts w:ascii="Arial" w:hAnsi="Arial" w:cs="Arial"/>
                <w:sz w:val="24"/>
                <w:szCs w:val="24"/>
              </w:rPr>
            </w:pPr>
            <w:r w:rsidRPr="000F7002">
              <w:rPr>
                <w:rFonts w:ascii="Arial" w:hAnsi="Arial" w:cs="Arial"/>
                <w:b/>
                <w:sz w:val="24"/>
                <w:szCs w:val="24"/>
              </w:rPr>
              <w:t>CCGs and ICS Organisations Summary:</w:t>
            </w:r>
            <w:r w:rsidRPr="000F7002">
              <w:rPr>
                <w:rFonts w:ascii="Arial" w:hAnsi="Arial" w:cs="Arial"/>
                <w:sz w:val="24"/>
                <w:szCs w:val="24"/>
              </w:rPr>
              <w:t xml:space="preserve"> </w:t>
            </w:r>
          </w:p>
          <w:p w:rsidR="00E712DB" w:rsidRPr="00582806" w:rsidRDefault="00E712DB" w:rsidP="00E712DB">
            <w:pPr>
              <w:jc w:val="both"/>
              <w:rPr>
                <w:rFonts w:ascii="Arial" w:hAnsi="Arial" w:cs="Arial"/>
                <w:sz w:val="24"/>
                <w:szCs w:val="24"/>
              </w:rPr>
            </w:pPr>
          </w:p>
          <w:p w:rsidR="00E712DB" w:rsidRDefault="00E712DB" w:rsidP="00E712DB">
            <w:pPr>
              <w:rPr>
                <w:rFonts w:ascii="Arial" w:hAnsi="Arial" w:cs="Arial"/>
                <w:sz w:val="24"/>
                <w:szCs w:val="24"/>
              </w:rPr>
            </w:pPr>
            <w:r>
              <w:rPr>
                <w:rFonts w:ascii="Arial" w:hAnsi="Arial" w:cs="Arial"/>
                <w:sz w:val="24"/>
                <w:szCs w:val="24"/>
              </w:rPr>
              <w:t>The CCGs in Nottingham and Nottinghamshire are integrating the workforce to work jointly</w:t>
            </w:r>
            <w:r w:rsidRPr="001D2200">
              <w:rPr>
                <w:rFonts w:ascii="Arial" w:hAnsi="Arial" w:cs="Arial"/>
                <w:sz w:val="24"/>
                <w:szCs w:val="24"/>
              </w:rPr>
              <w:t xml:space="preserve"> across </w:t>
            </w:r>
            <w:r>
              <w:rPr>
                <w:rFonts w:ascii="Arial" w:hAnsi="Arial" w:cs="Arial"/>
                <w:sz w:val="24"/>
                <w:szCs w:val="24"/>
              </w:rPr>
              <w:t>six</w:t>
            </w:r>
            <w:r w:rsidRPr="001D2200">
              <w:rPr>
                <w:rFonts w:ascii="Arial" w:hAnsi="Arial" w:cs="Arial"/>
                <w:sz w:val="24"/>
                <w:szCs w:val="24"/>
              </w:rPr>
              <w:t xml:space="preserve"> Clinical Commissioning Groups (CCGs) –</w:t>
            </w:r>
            <w:r>
              <w:rPr>
                <w:rFonts w:ascii="Arial" w:hAnsi="Arial" w:cs="Arial"/>
                <w:sz w:val="24"/>
                <w:szCs w:val="24"/>
              </w:rPr>
              <w:t xml:space="preserve"> Mansfield and Ashfield, Newark and Sherwood, </w:t>
            </w:r>
            <w:r w:rsidRPr="001D2200">
              <w:rPr>
                <w:rFonts w:ascii="Arial" w:hAnsi="Arial" w:cs="Arial"/>
                <w:sz w:val="24"/>
                <w:szCs w:val="24"/>
              </w:rPr>
              <w:t>Nottingham City, Nottingham No</w:t>
            </w:r>
            <w:r>
              <w:rPr>
                <w:rFonts w:ascii="Arial" w:hAnsi="Arial" w:cs="Arial"/>
                <w:sz w:val="24"/>
                <w:szCs w:val="24"/>
              </w:rPr>
              <w:t xml:space="preserve">rth and East, Nottingham West and </w:t>
            </w:r>
            <w:r w:rsidRPr="001D2200">
              <w:rPr>
                <w:rFonts w:ascii="Arial" w:hAnsi="Arial" w:cs="Arial"/>
                <w:sz w:val="24"/>
                <w:szCs w:val="24"/>
              </w:rPr>
              <w:t>Rushcliffe</w:t>
            </w:r>
            <w:r>
              <w:rPr>
                <w:rFonts w:ascii="Arial" w:hAnsi="Arial" w:cs="Arial"/>
                <w:sz w:val="24"/>
                <w:szCs w:val="24"/>
              </w:rPr>
              <w:t xml:space="preserve"> in anticipation of a formal merger in April 2020</w:t>
            </w:r>
            <w:r w:rsidRPr="001D2200">
              <w:rPr>
                <w:rFonts w:ascii="Arial" w:hAnsi="Arial" w:cs="Arial"/>
                <w:sz w:val="24"/>
                <w:szCs w:val="24"/>
              </w:rPr>
              <w:t xml:space="preserve">. Working together in this way allows the organisations to work more effectively and efficiently by streamlining processes, avoiding duplication and delivering consistency </w:t>
            </w:r>
            <w:r>
              <w:rPr>
                <w:rFonts w:ascii="Arial" w:hAnsi="Arial" w:cs="Arial"/>
                <w:sz w:val="24"/>
                <w:szCs w:val="24"/>
              </w:rPr>
              <w:t xml:space="preserve">of quality across a larger area.  </w:t>
            </w:r>
            <w:r w:rsidRPr="001D2200">
              <w:rPr>
                <w:rFonts w:ascii="Arial" w:hAnsi="Arial" w:cs="Arial"/>
                <w:sz w:val="24"/>
                <w:szCs w:val="24"/>
              </w:rPr>
              <w:t xml:space="preserve">The CCGs </w:t>
            </w:r>
            <w:r>
              <w:rPr>
                <w:rFonts w:ascii="Arial" w:hAnsi="Arial" w:cs="Arial"/>
                <w:sz w:val="24"/>
                <w:szCs w:val="24"/>
              </w:rPr>
              <w:t>collectively cover the area of Nottingham and Nottinghamshire</w:t>
            </w:r>
            <w:r w:rsidRPr="001D2200">
              <w:rPr>
                <w:rFonts w:ascii="Arial" w:hAnsi="Arial" w:cs="Arial"/>
                <w:sz w:val="24"/>
                <w:szCs w:val="24"/>
              </w:rPr>
              <w:t xml:space="preserve">. There is a single Accountable Officer and Executive Team. </w:t>
            </w:r>
          </w:p>
          <w:p w:rsidR="00E712DB" w:rsidRDefault="00E712DB" w:rsidP="00E712DB">
            <w:pPr>
              <w:rPr>
                <w:rFonts w:ascii="Arial" w:hAnsi="Arial" w:cs="Arial"/>
                <w:sz w:val="24"/>
                <w:szCs w:val="24"/>
              </w:rPr>
            </w:pPr>
          </w:p>
          <w:p w:rsidR="00E712DB" w:rsidRDefault="00E712DB" w:rsidP="00E712DB">
            <w:pPr>
              <w:rPr>
                <w:rFonts w:ascii="Arial" w:hAnsi="Arial" w:cs="Arial"/>
                <w:sz w:val="24"/>
                <w:szCs w:val="24"/>
              </w:rPr>
            </w:pPr>
            <w:r>
              <w:rPr>
                <w:rFonts w:ascii="Arial" w:hAnsi="Arial" w:cs="Arial"/>
                <w:sz w:val="24"/>
                <w:szCs w:val="24"/>
              </w:rPr>
              <w:t xml:space="preserve">In addition to this, NHS and Local Authority bodies are working together in an Integrated Care System (ICS) across the same geographic footprint – seeking to join up health and care and integrate the delivery of better outcomes for patients and service users.  The ICS and CCG Communications and Engagement team serves the Communications and Engagement needs of both the CCG and the ICS, acting as an exemplar of joint working and streamlined delivery.  The Director of Communications and Engagement reports into both the CCG AO and the ICS Executive Lead.  </w:t>
            </w:r>
          </w:p>
          <w:p w:rsidR="00E712DB" w:rsidRDefault="00E712DB" w:rsidP="00E712DB">
            <w:pPr>
              <w:rPr>
                <w:rFonts w:ascii="Arial" w:hAnsi="Arial" w:cs="Arial"/>
                <w:sz w:val="24"/>
                <w:szCs w:val="24"/>
              </w:rPr>
            </w:pPr>
          </w:p>
          <w:p w:rsidR="009A3FCB" w:rsidRPr="00582806" w:rsidRDefault="00E712DB" w:rsidP="00E712DB">
            <w:pPr>
              <w:rPr>
                <w:rFonts w:ascii="Arial" w:hAnsi="Arial" w:cs="Arial"/>
                <w:b/>
                <w:sz w:val="24"/>
                <w:szCs w:val="24"/>
              </w:rPr>
            </w:pPr>
            <w:proofErr w:type="gramStart"/>
            <w:r>
              <w:rPr>
                <w:rFonts w:ascii="Arial" w:hAnsi="Arial" w:cs="Arial"/>
                <w:sz w:val="24"/>
                <w:szCs w:val="24"/>
              </w:rPr>
              <w:t>Staff working within the ICS and CCG Communications and Engagement team</w:t>
            </w:r>
            <w:r w:rsidRPr="001D2200">
              <w:rPr>
                <w:rFonts w:ascii="Arial" w:hAnsi="Arial" w:cs="Arial"/>
                <w:sz w:val="24"/>
                <w:szCs w:val="24"/>
              </w:rPr>
              <w:t xml:space="preserve"> are</w:t>
            </w:r>
            <w:proofErr w:type="gramEnd"/>
            <w:r w:rsidRPr="001D2200">
              <w:rPr>
                <w:rFonts w:ascii="Arial" w:hAnsi="Arial" w:cs="Arial"/>
                <w:sz w:val="24"/>
                <w:szCs w:val="24"/>
              </w:rPr>
              <w:t xml:space="preserve"> expected to have strong links w</w:t>
            </w:r>
            <w:r>
              <w:rPr>
                <w:rFonts w:ascii="Arial" w:hAnsi="Arial" w:cs="Arial"/>
                <w:sz w:val="24"/>
                <w:szCs w:val="24"/>
              </w:rPr>
              <w:t>ith CCG colleagues and ICS partner teams across the entire county</w:t>
            </w:r>
            <w:r w:rsidRPr="001D2200">
              <w:rPr>
                <w:rFonts w:ascii="Arial" w:hAnsi="Arial" w:cs="Arial"/>
                <w:sz w:val="24"/>
                <w:szCs w:val="24"/>
              </w:rPr>
              <w:t xml:space="preserve">. </w:t>
            </w:r>
            <w:r>
              <w:rPr>
                <w:rFonts w:ascii="Arial" w:hAnsi="Arial" w:cs="Arial"/>
                <w:sz w:val="24"/>
                <w:szCs w:val="24"/>
              </w:rPr>
              <w:t xml:space="preserve"> </w:t>
            </w:r>
            <w:r w:rsidRPr="001D2200">
              <w:rPr>
                <w:rFonts w:ascii="Arial" w:hAnsi="Arial" w:cs="Arial"/>
                <w:sz w:val="24"/>
                <w:szCs w:val="24"/>
              </w:rPr>
              <w:t xml:space="preserve">All individuals will have an identified base, but travel and cross-working between the </w:t>
            </w:r>
            <w:r>
              <w:rPr>
                <w:rFonts w:ascii="Arial" w:hAnsi="Arial" w:cs="Arial"/>
                <w:sz w:val="24"/>
                <w:szCs w:val="24"/>
              </w:rPr>
              <w:t xml:space="preserve">CCG and ICS partners </w:t>
            </w:r>
            <w:r w:rsidRPr="001D2200">
              <w:rPr>
                <w:rFonts w:ascii="Arial" w:hAnsi="Arial" w:cs="Arial"/>
                <w:sz w:val="24"/>
                <w:szCs w:val="24"/>
              </w:rPr>
              <w:t xml:space="preserve">is expected for </w:t>
            </w:r>
            <w:r>
              <w:rPr>
                <w:rFonts w:ascii="Arial" w:hAnsi="Arial" w:cs="Arial"/>
                <w:sz w:val="24"/>
                <w:szCs w:val="24"/>
              </w:rPr>
              <w:t>all</w:t>
            </w:r>
            <w:r w:rsidRPr="001D2200">
              <w:rPr>
                <w:rFonts w:ascii="Arial" w:hAnsi="Arial" w:cs="Arial"/>
                <w:sz w:val="24"/>
                <w:szCs w:val="24"/>
              </w:rPr>
              <w:t xml:space="preserve"> roles.</w:t>
            </w:r>
          </w:p>
          <w:p w:rsidR="00582806" w:rsidRPr="00582806" w:rsidRDefault="00582806" w:rsidP="00582806">
            <w:pPr>
              <w:rPr>
                <w:rFonts w:ascii="Arial" w:hAnsi="Arial" w:cs="Arial"/>
                <w:b/>
                <w:sz w:val="24"/>
                <w:szCs w:val="24"/>
              </w:rPr>
            </w:pPr>
          </w:p>
          <w:p w:rsidR="007B61FC" w:rsidRPr="007951FC" w:rsidRDefault="00862B13" w:rsidP="007951FC">
            <w:pPr>
              <w:rPr>
                <w:rFonts w:ascii="Arial" w:hAnsi="Arial" w:cs="Arial"/>
                <w:b/>
                <w:sz w:val="24"/>
                <w:szCs w:val="24"/>
              </w:rPr>
            </w:pPr>
            <w:r w:rsidRPr="007951FC">
              <w:rPr>
                <w:rFonts w:ascii="Arial" w:hAnsi="Arial" w:cs="Arial"/>
                <w:b/>
                <w:sz w:val="24"/>
                <w:szCs w:val="24"/>
              </w:rPr>
              <w:t>Job Summary</w:t>
            </w:r>
          </w:p>
          <w:p w:rsidR="00A20C05" w:rsidRPr="001D2200" w:rsidRDefault="00A20C05" w:rsidP="00A20C05">
            <w:pPr>
              <w:pStyle w:val="ListParagraph"/>
              <w:rPr>
                <w:rFonts w:ascii="Arial" w:hAnsi="Arial" w:cs="Arial"/>
                <w:b/>
                <w:sz w:val="24"/>
                <w:szCs w:val="24"/>
              </w:rPr>
            </w:pPr>
          </w:p>
          <w:p w:rsidR="006F545A" w:rsidRDefault="006F545A" w:rsidP="005D3F69">
            <w:pPr>
              <w:rPr>
                <w:rFonts w:ascii="Arial" w:eastAsia="Times New Roman" w:hAnsi="Arial" w:cs="Arial"/>
                <w:sz w:val="24"/>
                <w:szCs w:val="24"/>
              </w:rPr>
            </w:pPr>
            <w:r w:rsidRPr="003223BB">
              <w:rPr>
                <w:rFonts w:ascii="Arial" w:eastAsia="Times New Roman" w:hAnsi="Arial" w:cs="Arial"/>
                <w:sz w:val="24"/>
                <w:szCs w:val="24"/>
              </w:rPr>
              <w:t xml:space="preserve">The post holder will support the Head of </w:t>
            </w:r>
            <w:r w:rsidR="005D3F69">
              <w:rPr>
                <w:rFonts w:ascii="Arial" w:eastAsia="Times New Roman" w:hAnsi="Arial" w:cs="Arial"/>
                <w:sz w:val="24"/>
                <w:szCs w:val="24"/>
              </w:rPr>
              <w:t>Engagement</w:t>
            </w:r>
            <w:r w:rsidRPr="003223BB">
              <w:rPr>
                <w:rFonts w:ascii="Arial" w:eastAsia="Times New Roman" w:hAnsi="Arial" w:cs="Arial"/>
                <w:sz w:val="24"/>
                <w:szCs w:val="24"/>
              </w:rPr>
              <w:t xml:space="preserve"> and their team to</w:t>
            </w:r>
            <w:r w:rsidR="00F24B7B" w:rsidRPr="00F24B7B">
              <w:rPr>
                <w:rFonts w:ascii="Arial" w:hAnsi="Arial" w:cs="Arial"/>
                <w:sz w:val="24"/>
                <w:szCs w:val="24"/>
              </w:rPr>
              <w:t xml:space="preserve"> coordinate the delivery of patient and public engagement </w:t>
            </w:r>
            <w:r w:rsidR="00F24B7B">
              <w:rPr>
                <w:rFonts w:ascii="Arial" w:hAnsi="Arial" w:cs="Arial"/>
                <w:sz w:val="24"/>
                <w:szCs w:val="24"/>
              </w:rPr>
              <w:t>on behalf of the CCGs</w:t>
            </w:r>
            <w:r w:rsidR="00756575">
              <w:rPr>
                <w:rFonts w:ascii="Arial" w:hAnsi="Arial" w:cs="Arial"/>
                <w:sz w:val="24"/>
                <w:szCs w:val="24"/>
              </w:rPr>
              <w:t xml:space="preserve"> and the ICS</w:t>
            </w:r>
            <w:r w:rsidR="00F24B7B">
              <w:rPr>
                <w:rFonts w:ascii="Arial" w:hAnsi="Arial" w:cs="Arial"/>
                <w:sz w:val="24"/>
                <w:szCs w:val="24"/>
              </w:rPr>
              <w:t xml:space="preserve">, providing operational management of engagement activities in line with </w:t>
            </w:r>
            <w:r w:rsidR="00A20C05">
              <w:rPr>
                <w:rFonts w:ascii="Arial" w:hAnsi="Arial" w:cs="Arial"/>
                <w:sz w:val="24"/>
                <w:szCs w:val="24"/>
              </w:rPr>
              <w:t>CCG and ICS</w:t>
            </w:r>
            <w:r w:rsidR="00F24B7B">
              <w:rPr>
                <w:rFonts w:ascii="Arial" w:hAnsi="Arial" w:cs="Arial"/>
                <w:sz w:val="24"/>
                <w:szCs w:val="24"/>
              </w:rPr>
              <w:t xml:space="preserve"> priorities</w:t>
            </w:r>
            <w:r w:rsidR="00F24B7B">
              <w:rPr>
                <w:rFonts w:ascii="Arial" w:eastAsia="Times New Roman" w:hAnsi="Arial" w:cs="Arial"/>
                <w:sz w:val="24"/>
                <w:szCs w:val="24"/>
              </w:rPr>
              <w:t>. This includes</w:t>
            </w:r>
            <w:r w:rsidRPr="003223BB">
              <w:rPr>
                <w:rFonts w:ascii="Arial" w:eastAsia="Times New Roman" w:hAnsi="Arial" w:cs="Arial"/>
                <w:sz w:val="24"/>
                <w:szCs w:val="24"/>
              </w:rPr>
              <w:t>:</w:t>
            </w:r>
          </w:p>
          <w:p w:rsidR="005D3F69" w:rsidRPr="003223BB" w:rsidRDefault="005D3F69" w:rsidP="005D3F69">
            <w:pPr>
              <w:rPr>
                <w:rFonts w:ascii="Arial" w:eastAsia="Times New Roman" w:hAnsi="Arial" w:cs="Arial"/>
                <w:sz w:val="24"/>
                <w:szCs w:val="24"/>
              </w:rPr>
            </w:pPr>
          </w:p>
          <w:p w:rsidR="006F545A" w:rsidRPr="00F24B7B" w:rsidRDefault="00F24B7B" w:rsidP="005D3F69">
            <w:pPr>
              <w:numPr>
                <w:ilvl w:val="0"/>
                <w:numId w:val="25"/>
              </w:numPr>
              <w:tabs>
                <w:tab w:val="left" w:pos="1092"/>
              </w:tabs>
              <w:ind w:hanging="336"/>
              <w:rPr>
                <w:rFonts w:ascii="Arial" w:eastAsia="Times New Roman" w:hAnsi="Arial" w:cs="Arial"/>
                <w:b/>
                <w:sz w:val="24"/>
                <w:szCs w:val="24"/>
              </w:rPr>
            </w:pPr>
            <w:r>
              <w:rPr>
                <w:rFonts w:ascii="Arial" w:eastAsia="Times New Roman" w:hAnsi="Arial" w:cs="Arial"/>
                <w:sz w:val="24"/>
                <w:szCs w:val="24"/>
              </w:rPr>
              <w:t>Operational management and</w:t>
            </w:r>
            <w:r w:rsidR="00A20C05">
              <w:rPr>
                <w:rFonts w:ascii="Arial" w:eastAsia="Times New Roman" w:hAnsi="Arial" w:cs="Arial"/>
                <w:sz w:val="24"/>
                <w:szCs w:val="24"/>
              </w:rPr>
              <w:t xml:space="preserve"> delivery of engagement activities</w:t>
            </w:r>
            <w:r>
              <w:rPr>
                <w:rFonts w:ascii="Arial" w:eastAsia="Times New Roman" w:hAnsi="Arial" w:cs="Arial"/>
                <w:sz w:val="24"/>
                <w:szCs w:val="24"/>
              </w:rPr>
              <w:t xml:space="preserve"> in line with CCG </w:t>
            </w:r>
            <w:r w:rsidR="007C0FD9">
              <w:rPr>
                <w:rFonts w:ascii="Arial" w:eastAsia="Times New Roman" w:hAnsi="Arial" w:cs="Arial"/>
                <w:sz w:val="24"/>
                <w:szCs w:val="24"/>
              </w:rPr>
              <w:tab/>
            </w:r>
            <w:r w:rsidR="00A20C05">
              <w:rPr>
                <w:rFonts w:ascii="Arial" w:eastAsia="Times New Roman" w:hAnsi="Arial" w:cs="Arial"/>
                <w:sz w:val="24"/>
                <w:szCs w:val="24"/>
              </w:rPr>
              <w:t xml:space="preserve">and ICS </w:t>
            </w:r>
            <w:r>
              <w:rPr>
                <w:rFonts w:ascii="Arial" w:eastAsia="Times New Roman" w:hAnsi="Arial" w:cs="Arial"/>
                <w:sz w:val="24"/>
                <w:szCs w:val="24"/>
              </w:rPr>
              <w:t>priorities</w:t>
            </w:r>
            <w:r w:rsidR="00F66140">
              <w:rPr>
                <w:rFonts w:ascii="Arial" w:eastAsia="Times New Roman" w:hAnsi="Arial" w:cs="Arial"/>
                <w:sz w:val="24"/>
                <w:szCs w:val="24"/>
              </w:rPr>
              <w:t>.</w:t>
            </w:r>
          </w:p>
          <w:p w:rsidR="00F24B7B" w:rsidRDefault="00F24B7B" w:rsidP="005D3F69">
            <w:pPr>
              <w:numPr>
                <w:ilvl w:val="0"/>
                <w:numId w:val="25"/>
              </w:numPr>
              <w:tabs>
                <w:tab w:val="left" w:pos="1092"/>
              </w:tabs>
              <w:ind w:hanging="336"/>
              <w:rPr>
                <w:rFonts w:ascii="Arial" w:eastAsia="Times New Roman" w:hAnsi="Arial" w:cs="Arial"/>
                <w:sz w:val="24"/>
                <w:szCs w:val="24"/>
              </w:rPr>
            </w:pPr>
            <w:r w:rsidRPr="00F24B7B">
              <w:rPr>
                <w:rFonts w:ascii="Arial" w:eastAsia="Times New Roman" w:hAnsi="Arial" w:cs="Arial"/>
                <w:sz w:val="24"/>
                <w:szCs w:val="24"/>
              </w:rPr>
              <w:t>Advising colleagues</w:t>
            </w:r>
            <w:r>
              <w:rPr>
                <w:rFonts w:ascii="Arial" w:eastAsia="Times New Roman" w:hAnsi="Arial" w:cs="Arial"/>
                <w:sz w:val="24"/>
                <w:szCs w:val="24"/>
              </w:rPr>
              <w:t xml:space="preserve"> across the organisation on appropriate approaches to patient and public involvement</w:t>
            </w:r>
            <w:r w:rsidR="00F66140">
              <w:rPr>
                <w:rFonts w:ascii="Arial" w:eastAsia="Times New Roman" w:hAnsi="Arial" w:cs="Arial"/>
                <w:sz w:val="24"/>
                <w:szCs w:val="24"/>
              </w:rPr>
              <w:t>.</w:t>
            </w:r>
          </w:p>
          <w:p w:rsidR="00F24B7B" w:rsidRPr="00A5517D" w:rsidRDefault="00A5517D"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bCs/>
                <w:color w:val="000000"/>
                <w:sz w:val="24"/>
                <w:szCs w:val="24"/>
              </w:rPr>
              <w:t>Working</w:t>
            </w:r>
            <w:r w:rsidR="00F24B7B" w:rsidRPr="00194BBC">
              <w:rPr>
                <w:rFonts w:ascii="Arial" w:eastAsia="Times New Roman" w:hAnsi="Arial" w:cs="Arial"/>
                <w:bCs/>
                <w:color w:val="000000"/>
                <w:sz w:val="24"/>
                <w:szCs w:val="24"/>
              </w:rPr>
              <w:t xml:space="preserve"> closely with the patient and public </w:t>
            </w:r>
            <w:r w:rsidR="00A20C05">
              <w:rPr>
                <w:rFonts w:ascii="Arial" w:eastAsia="Times New Roman" w:hAnsi="Arial" w:cs="Arial"/>
                <w:bCs/>
                <w:color w:val="000000"/>
                <w:sz w:val="24"/>
                <w:szCs w:val="24"/>
              </w:rPr>
              <w:t xml:space="preserve">involvement leads across health, </w:t>
            </w:r>
            <w:r w:rsidR="005D3F69">
              <w:rPr>
                <w:rFonts w:ascii="Arial" w:eastAsia="Times New Roman" w:hAnsi="Arial" w:cs="Arial"/>
                <w:bCs/>
                <w:color w:val="000000"/>
                <w:sz w:val="24"/>
                <w:szCs w:val="24"/>
              </w:rPr>
              <w:t>L</w:t>
            </w:r>
            <w:r w:rsidR="00F24B7B" w:rsidRPr="00194BBC">
              <w:rPr>
                <w:rFonts w:ascii="Arial" w:eastAsia="Times New Roman" w:hAnsi="Arial" w:cs="Arial"/>
                <w:bCs/>
                <w:color w:val="000000"/>
                <w:sz w:val="24"/>
                <w:szCs w:val="24"/>
              </w:rPr>
              <w:t xml:space="preserve">ocal </w:t>
            </w:r>
            <w:r w:rsidR="005D3F69">
              <w:rPr>
                <w:rFonts w:ascii="Arial" w:eastAsia="Times New Roman" w:hAnsi="Arial" w:cs="Arial"/>
                <w:bCs/>
                <w:color w:val="000000"/>
                <w:sz w:val="24"/>
                <w:szCs w:val="24"/>
              </w:rPr>
              <w:t>A</w:t>
            </w:r>
            <w:r w:rsidR="00F24B7B" w:rsidRPr="00194BBC">
              <w:rPr>
                <w:rFonts w:ascii="Arial" w:eastAsia="Times New Roman" w:hAnsi="Arial" w:cs="Arial"/>
                <w:bCs/>
                <w:color w:val="000000"/>
                <w:sz w:val="24"/>
                <w:szCs w:val="24"/>
              </w:rPr>
              <w:t xml:space="preserve">uthorities </w:t>
            </w:r>
            <w:r w:rsidR="00A20C05">
              <w:rPr>
                <w:rFonts w:ascii="Arial" w:eastAsia="Times New Roman" w:hAnsi="Arial" w:cs="Arial"/>
                <w:bCs/>
                <w:color w:val="000000"/>
                <w:sz w:val="24"/>
                <w:szCs w:val="24"/>
              </w:rPr>
              <w:t xml:space="preserve">and the voluntary sector </w:t>
            </w:r>
            <w:r w:rsidR="00F24B7B" w:rsidRPr="00194BBC">
              <w:rPr>
                <w:rFonts w:ascii="Arial" w:eastAsia="Times New Roman" w:hAnsi="Arial" w:cs="Arial"/>
                <w:bCs/>
                <w:color w:val="000000"/>
                <w:sz w:val="24"/>
                <w:szCs w:val="24"/>
              </w:rPr>
              <w:t xml:space="preserve">to provide an integrated and co-ordinated approach to </w:t>
            </w:r>
            <w:r w:rsidR="00A20C05">
              <w:rPr>
                <w:rFonts w:ascii="Arial" w:eastAsia="Times New Roman" w:hAnsi="Arial" w:cs="Arial"/>
                <w:bCs/>
                <w:color w:val="000000"/>
                <w:sz w:val="24"/>
                <w:szCs w:val="24"/>
              </w:rPr>
              <w:t>patient and public involvement</w:t>
            </w:r>
            <w:r w:rsidR="00F66140">
              <w:rPr>
                <w:rFonts w:ascii="Arial" w:eastAsia="Times New Roman" w:hAnsi="Arial" w:cs="Arial"/>
                <w:bCs/>
                <w:color w:val="000000"/>
                <w:sz w:val="24"/>
                <w:szCs w:val="24"/>
              </w:rPr>
              <w:t>.</w:t>
            </w:r>
          </w:p>
          <w:p w:rsidR="00A5517D" w:rsidRPr="00F66140" w:rsidRDefault="00A5517D"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bCs/>
                <w:color w:val="000000"/>
                <w:sz w:val="24"/>
                <w:szCs w:val="24"/>
              </w:rPr>
              <w:t>Management and coordination of the work programmes of the CCGs’ patient committees, including liaison with the patient committee Chairs and Vice Chairs</w:t>
            </w:r>
            <w:r w:rsidR="00F66140">
              <w:rPr>
                <w:rFonts w:ascii="Arial" w:eastAsia="Times New Roman" w:hAnsi="Arial" w:cs="Arial"/>
                <w:bCs/>
                <w:color w:val="000000"/>
                <w:sz w:val="24"/>
                <w:szCs w:val="24"/>
              </w:rPr>
              <w:t>.</w:t>
            </w:r>
          </w:p>
          <w:p w:rsidR="00F66140" w:rsidRPr="00A5517D" w:rsidRDefault="00F66140"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bCs/>
                <w:color w:val="000000"/>
                <w:sz w:val="24"/>
                <w:szCs w:val="24"/>
              </w:rPr>
              <w:t>Management and coordination of the work programme of the ICS Partnership Forum.</w:t>
            </w:r>
          </w:p>
          <w:p w:rsidR="00A5517D" w:rsidRDefault="00A5517D"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sz w:val="24"/>
                <w:szCs w:val="24"/>
              </w:rPr>
              <w:t xml:space="preserve">Developing and implementing processes and systems that enable high quality patient and </w:t>
            </w:r>
            <w:r>
              <w:rPr>
                <w:rFonts w:ascii="Arial" w:eastAsia="Times New Roman" w:hAnsi="Arial" w:cs="Arial"/>
                <w:sz w:val="24"/>
                <w:szCs w:val="24"/>
              </w:rPr>
              <w:lastRenderedPageBreak/>
              <w:t>public engagement activity to be delivered</w:t>
            </w:r>
            <w:r w:rsidR="00F66140">
              <w:rPr>
                <w:rFonts w:ascii="Arial" w:eastAsia="Times New Roman" w:hAnsi="Arial" w:cs="Arial"/>
                <w:sz w:val="24"/>
                <w:szCs w:val="24"/>
              </w:rPr>
              <w:t>.</w:t>
            </w:r>
          </w:p>
          <w:p w:rsidR="00A5517D" w:rsidRDefault="00A20C05"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sz w:val="24"/>
                <w:szCs w:val="24"/>
              </w:rPr>
              <w:t>Develops and owns an operational plan of engagement activity aligned to CCG and ICS priorities</w:t>
            </w:r>
            <w:r w:rsidR="00F66140">
              <w:rPr>
                <w:rFonts w:ascii="Arial" w:eastAsia="Times New Roman" w:hAnsi="Arial" w:cs="Arial"/>
                <w:sz w:val="24"/>
                <w:szCs w:val="24"/>
              </w:rPr>
              <w:t>.</w:t>
            </w:r>
          </w:p>
          <w:p w:rsidR="00A20C05" w:rsidRPr="00A5517D" w:rsidRDefault="00A20C05"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sz w:val="24"/>
                <w:szCs w:val="24"/>
              </w:rPr>
              <w:t>Develops</w:t>
            </w:r>
            <w:r w:rsidR="005C786E">
              <w:rPr>
                <w:rFonts w:ascii="Arial" w:eastAsia="Times New Roman" w:hAnsi="Arial" w:cs="Arial"/>
                <w:sz w:val="24"/>
                <w:szCs w:val="24"/>
              </w:rPr>
              <w:t xml:space="preserve"> and maintains</w:t>
            </w:r>
            <w:r>
              <w:rPr>
                <w:rFonts w:ascii="Arial" w:eastAsia="Times New Roman" w:hAnsi="Arial" w:cs="Arial"/>
                <w:sz w:val="24"/>
                <w:szCs w:val="24"/>
              </w:rPr>
              <w:t xml:space="preserve"> relationships with patient</w:t>
            </w:r>
            <w:r w:rsidR="001F28CC">
              <w:rPr>
                <w:rFonts w:ascii="Arial" w:eastAsia="Times New Roman" w:hAnsi="Arial" w:cs="Arial"/>
                <w:sz w:val="24"/>
                <w:szCs w:val="24"/>
              </w:rPr>
              <w:t xml:space="preserve"> and community groups and networks to enable high quality patient and public engagement activity to be delivered</w:t>
            </w:r>
            <w:r w:rsidR="00F66140">
              <w:rPr>
                <w:rFonts w:ascii="Arial" w:eastAsia="Times New Roman" w:hAnsi="Arial" w:cs="Arial"/>
                <w:sz w:val="24"/>
                <w:szCs w:val="24"/>
              </w:rPr>
              <w:t>.</w:t>
            </w:r>
          </w:p>
          <w:p w:rsidR="00A5517D" w:rsidRDefault="00A5517D" w:rsidP="00A5517D">
            <w:pPr>
              <w:rPr>
                <w:rFonts w:ascii="Arial" w:eastAsia="Times New Roman" w:hAnsi="Arial" w:cs="Arial"/>
                <w:bCs/>
                <w:color w:val="000000"/>
                <w:sz w:val="24"/>
                <w:szCs w:val="24"/>
              </w:rPr>
            </w:pPr>
          </w:p>
          <w:p w:rsidR="00F66140" w:rsidRDefault="00F66140" w:rsidP="00A5517D">
            <w:pPr>
              <w:rPr>
                <w:rFonts w:ascii="Arial" w:eastAsia="Times New Roman" w:hAnsi="Arial" w:cs="Arial"/>
                <w:bCs/>
                <w:color w:val="000000"/>
                <w:sz w:val="24"/>
                <w:szCs w:val="24"/>
              </w:rPr>
            </w:pPr>
          </w:p>
          <w:p w:rsidR="00F66140" w:rsidRDefault="00F66140" w:rsidP="00A5517D">
            <w:pPr>
              <w:rPr>
                <w:rFonts w:ascii="Arial" w:eastAsia="Times New Roman" w:hAnsi="Arial" w:cs="Arial"/>
                <w:bCs/>
                <w:color w:val="000000"/>
                <w:sz w:val="24"/>
                <w:szCs w:val="24"/>
              </w:rPr>
            </w:pPr>
          </w:p>
          <w:p w:rsidR="00862B13" w:rsidRPr="007951FC" w:rsidRDefault="00862B13" w:rsidP="007951FC">
            <w:pPr>
              <w:rPr>
                <w:rFonts w:ascii="Arial" w:hAnsi="Arial" w:cs="Arial"/>
                <w:sz w:val="24"/>
                <w:szCs w:val="24"/>
              </w:rPr>
            </w:pPr>
            <w:r w:rsidRPr="007951FC">
              <w:rPr>
                <w:rFonts w:ascii="Arial" w:hAnsi="Arial" w:cs="Arial"/>
                <w:b/>
                <w:sz w:val="24"/>
                <w:szCs w:val="24"/>
              </w:rPr>
              <w:t>Skills</w:t>
            </w:r>
          </w:p>
          <w:p w:rsidR="00A20C05" w:rsidRDefault="00A20C05" w:rsidP="00E60A85">
            <w:pPr>
              <w:rPr>
                <w:rFonts w:ascii="Arial" w:hAnsi="Arial" w:cs="Arial"/>
                <w:sz w:val="24"/>
                <w:szCs w:val="24"/>
              </w:rPr>
            </w:pPr>
          </w:p>
          <w:p w:rsidR="007951FC" w:rsidRPr="005D3F69" w:rsidRDefault="007951FC" w:rsidP="005D3F69">
            <w:pPr>
              <w:pStyle w:val="ListParagraph"/>
              <w:numPr>
                <w:ilvl w:val="0"/>
                <w:numId w:val="25"/>
              </w:numPr>
              <w:rPr>
                <w:rFonts w:ascii="Arial" w:hAnsi="Arial" w:cs="Arial"/>
                <w:sz w:val="24"/>
                <w:szCs w:val="24"/>
              </w:rPr>
            </w:pPr>
            <w:r>
              <w:rPr>
                <w:rFonts w:ascii="Arial" w:hAnsi="Arial" w:cs="Arial"/>
                <w:sz w:val="24"/>
                <w:szCs w:val="24"/>
              </w:rPr>
              <w:t>Required</w:t>
            </w:r>
            <w:r w:rsidR="00A20C05" w:rsidRPr="007951FC">
              <w:rPr>
                <w:rFonts w:ascii="Arial" w:hAnsi="Arial" w:cs="Arial"/>
                <w:sz w:val="24"/>
                <w:szCs w:val="24"/>
              </w:rPr>
              <w:t xml:space="preserve"> to manage the operational engagement function of the ICS and CCGs. This requires a high level of skill in </w:t>
            </w:r>
            <w:r w:rsidR="001F28CC" w:rsidRPr="007951FC">
              <w:rPr>
                <w:rFonts w:ascii="Arial" w:hAnsi="Arial" w:cs="Arial"/>
                <w:sz w:val="24"/>
                <w:szCs w:val="24"/>
              </w:rPr>
              <w:t xml:space="preserve">planning, </w:t>
            </w:r>
            <w:r w:rsidR="00A20C05" w:rsidRPr="007951FC">
              <w:rPr>
                <w:rFonts w:ascii="Arial" w:hAnsi="Arial" w:cs="Arial"/>
                <w:sz w:val="24"/>
                <w:szCs w:val="24"/>
              </w:rPr>
              <w:t xml:space="preserve">prioritising and coordinating engagement activities, including </w:t>
            </w:r>
            <w:r w:rsidR="001F28CC" w:rsidRPr="007951FC">
              <w:rPr>
                <w:rFonts w:ascii="Arial" w:hAnsi="Arial" w:cs="Arial"/>
                <w:sz w:val="24"/>
                <w:szCs w:val="24"/>
              </w:rPr>
              <w:t xml:space="preserve">the </w:t>
            </w:r>
            <w:r w:rsidR="00A20C05" w:rsidRPr="007951FC">
              <w:rPr>
                <w:rFonts w:ascii="Arial" w:hAnsi="Arial" w:cs="Arial"/>
                <w:sz w:val="24"/>
                <w:szCs w:val="24"/>
              </w:rPr>
              <w:t>management of staff</w:t>
            </w:r>
            <w:r w:rsidR="001F28CC" w:rsidRPr="007951FC">
              <w:rPr>
                <w:rFonts w:ascii="Arial" w:hAnsi="Arial" w:cs="Arial"/>
                <w:sz w:val="24"/>
                <w:szCs w:val="24"/>
              </w:rPr>
              <w:t xml:space="preserve"> and management of relationships across the CCG</w:t>
            </w:r>
            <w:r w:rsidR="005D3F69">
              <w:rPr>
                <w:rFonts w:ascii="Arial" w:hAnsi="Arial" w:cs="Arial"/>
                <w:sz w:val="24"/>
                <w:szCs w:val="24"/>
              </w:rPr>
              <w:t>s</w:t>
            </w:r>
            <w:r w:rsidR="001F28CC" w:rsidRPr="007951FC">
              <w:rPr>
                <w:rFonts w:ascii="Arial" w:hAnsi="Arial" w:cs="Arial"/>
                <w:sz w:val="24"/>
                <w:szCs w:val="24"/>
              </w:rPr>
              <w:t xml:space="preserve"> and ICS</w:t>
            </w:r>
            <w:r w:rsidR="00A20C05" w:rsidRPr="007951FC">
              <w:rPr>
                <w:rFonts w:ascii="Arial" w:hAnsi="Arial" w:cs="Arial"/>
                <w:sz w:val="24"/>
                <w:szCs w:val="24"/>
              </w:rPr>
              <w:t xml:space="preserve">. </w:t>
            </w:r>
          </w:p>
          <w:p w:rsidR="007951FC" w:rsidRDefault="007951FC" w:rsidP="007951FC">
            <w:pPr>
              <w:pStyle w:val="ListParagraph"/>
              <w:numPr>
                <w:ilvl w:val="0"/>
                <w:numId w:val="25"/>
              </w:numPr>
              <w:rPr>
                <w:rFonts w:ascii="Arial" w:hAnsi="Arial" w:cs="Arial"/>
                <w:sz w:val="24"/>
                <w:szCs w:val="24"/>
              </w:rPr>
            </w:pPr>
            <w:r>
              <w:rPr>
                <w:rFonts w:ascii="Arial" w:hAnsi="Arial" w:cs="Arial"/>
                <w:sz w:val="24"/>
                <w:szCs w:val="24"/>
              </w:rPr>
              <w:t>Manages</w:t>
            </w:r>
            <w:r w:rsidR="001F28CC" w:rsidRPr="007951FC">
              <w:rPr>
                <w:rFonts w:ascii="Arial" w:hAnsi="Arial" w:cs="Arial"/>
                <w:sz w:val="24"/>
                <w:szCs w:val="24"/>
              </w:rPr>
              <w:t xml:space="preserve"> relationships with others outside the CCG and ICS, including with other health organisations; Local Authorities and the voluntary and comm</w:t>
            </w:r>
            <w:r>
              <w:rPr>
                <w:rFonts w:ascii="Arial" w:hAnsi="Arial" w:cs="Arial"/>
                <w:sz w:val="24"/>
                <w:szCs w:val="24"/>
              </w:rPr>
              <w:t>unity sector.</w:t>
            </w:r>
          </w:p>
          <w:p w:rsidR="005C786E" w:rsidRPr="005C786E" w:rsidRDefault="005C786E" w:rsidP="005C786E">
            <w:pPr>
              <w:pStyle w:val="ListParagraph"/>
              <w:numPr>
                <w:ilvl w:val="0"/>
                <w:numId w:val="25"/>
              </w:numPr>
              <w:rPr>
                <w:rFonts w:ascii="Arial" w:hAnsi="Arial" w:cs="Arial"/>
                <w:sz w:val="24"/>
                <w:szCs w:val="24"/>
              </w:rPr>
            </w:pPr>
            <w:r w:rsidRPr="005C786E">
              <w:rPr>
                <w:rFonts w:ascii="Arial" w:hAnsi="Arial" w:cs="Arial"/>
                <w:sz w:val="24"/>
                <w:szCs w:val="24"/>
              </w:rPr>
              <w:t>Identifies opportunities for maximising public participation, particularly with seldom heard groups</w:t>
            </w:r>
          </w:p>
          <w:p w:rsidR="007951FC" w:rsidRPr="005D3F69" w:rsidRDefault="007951FC" w:rsidP="005D3F69">
            <w:pPr>
              <w:pStyle w:val="ListParagraph"/>
              <w:numPr>
                <w:ilvl w:val="0"/>
                <w:numId w:val="25"/>
              </w:numPr>
              <w:rPr>
                <w:rFonts w:ascii="Arial" w:hAnsi="Arial" w:cs="Arial"/>
                <w:sz w:val="24"/>
                <w:szCs w:val="24"/>
              </w:rPr>
            </w:pPr>
            <w:r>
              <w:rPr>
                <w:rFonts w:ascii="Arial" w:hAnsi="Arial" w:cs="Arial"/>
                <w:sz w:val="24"/>
                <w:szCs w:val="24"/>
              </w:rPr>
              <w:t>Involves</w:t>
            </w:r>
            <w:r w:rsidR="001F28CC" w:rsidRPr="007951FC">
              <w:rPr>
                <w:rFonts w:ascii="Arial" w:hAnsi="Arial" w:cs="Arial"/>
                <w:sz w:val="24"/>
                <w:szCs w:val="24"/>
              </w:rPr>
              <w:t xml:space="preserve"> working with volunteers and patient</w:t>
            </w:r>
            <w:r>
              <w:rPr>
                <w:rFonts w:ascii="Arial" w:hAnsi="Arial" w:cs="Arial"/>
                <w:sz w:val="24"/>
                <w:szCs w:val="24"/>
              </w:rPr>
              <w:t xml:space="preserve"> and community representatives.</w:t>
            </w:r>
          </w:p>
          <w:p w:rsidR="007951FC" w:rsidRPr="005D3F69" w:rsidRDefault="007951FC" w:rsidP="005D3F69">
            <w:pPr>
              <w:pStyle w:val="ListParagraph"/>
              <w:numPr>
                <w:ilvl w:val="0"/>
                <w:numId w:val="25"/>
              </w:numPr>
              <w:rPr>
                <w:rFonts w:ascii="Arial" w:hAnsi="Arial" w:cs="Arial"/>
                <w:sz w:val="24"/>
                <w:szCs w:val="24"/>
              </w:rPr>
            </w:pPr>
            <w:r>
              <w:rPr>
                <w:rFonts w:ascii="Arial" w:hAnsi="Arial" w:cs="Arial"/>
                <w:sz w:val="24"/>
                <w:szCs w:val="24"/>
              </w:rPr>
              <w:t>Manages</w:t>
            </w:r>
            <w:r w:rsidR="001F28CC" w:rsidRPr="007951FC">
              <w:rPr>
                <w:rFonts w:ascii="Arial" w:hAnsi="Arial" w:cs="Arial"/>
                <w:sz w:val="24"/>
                <w:szCs w:val="24"/>
              </w:rPr>
              <w:t xml:space="preserve"> difficult conversations with external stakeholders and </w:t>
            </w:r>
            <w:r w:rsidR="005D3F69">
              <w:rPr>
                <w:rFonts w:ascii="Arial" w:hAnsi="Arial" w:cs="Arial"/>
                <w:sz w:val="24"/>
                <w:szCs w:val="24"/>
              </w:rPr>
              <w:t>is</w:t>
            </w:r>
            <w:r w:rsidR="001F28CC" w:rsidRPr="007951FC">
              <w:rPr>
                <w:rFonts w:ascii="Arial" w:hAnsi="Arial" w:cs="Arial"/>
                <w:sz w:val="24"/>
                <w:szCs w:val="24"/>
              </w:rPr>
              <w:t xml:space="preserve"> required to use persuasion and negation skills to achieve a desired outcome. </w:t>
            </w:r>
          </w:p>
          <w:p w:rsidR="007951FC" w:rsidRPr="005D3F69" w:rsidRDefault="007951FC" w:rsidP="005D3F69">
            <w:pPr>
              <w:pStyle w:val="ListParagraph"/>
              <w:numPr>
                <w:ilvl w:val="0"/>
                <w:numId w:val="25"/>
              </w:numPr>
              <w:rPr>
                <w:rFonts w:ascii="Arial" w:hAnsi="Arial" w:cs="Arial"/>
                <w:sz w:val="24"/>
                <w:szCs w:val="24"/>
              </w:rPr>
            </w:pPr>
            <w:r>
              <w:rPr>
                <w:rFonts w:ascii="Arial" w:hAnsi="Arial" w:cs="Arial"/>
                <w:sz w:val="24"/>
                <w:szCs w:val="24"/>
              </w:rPr>
              <w:t>Provides presentations to a wide range of audiences, including volunteers and patient and community representatives.</w:t>
            </w:r>
          </w:p>
          <w:p w:rsidR="007951FC" w:rsidRPr="005D3F69" w:rsidRDefault="007951FC" w:rsidP="005D3F69">
            <w:pPr>
              <w:pStyle w:val="ListParagraph"/>
              <w:numPr>
                <w:ilvl w:val="0"/>
                <w:numId w:val="25"/>
              </w:numPr>
              <w:rPr>
                <w:rFonts w:ascii="Arial" w:hAnsi="Arial" w:cs="Arial"/>
                <w:sz w:val="24"/>
                <w:szCs w:val="24"/>
              </w:rPr>
            </w:pPr>
            <w:r>
              <w:rPr>
                <w:rFonts w:ascii="Arial" w:hAnsi="Arial" w:cs="Arial"/>
                <w:sz w:val="24"/>
                <w:szCs w:val="24"/>
              </w:rPr>
              <w:t>Produces reports for presentation to a wide range of audiences, presenting complex information in ways that are easy to understand.</w:t>
            </w:r>
          </w:p>
          <w:p w:rsidR="00A20C05" w:rsidRPr="007951FC" w:rsidRDefault="001F28CC" w:rsidP="00E60A85">
            <w:pPr>
              <w:pStyle w:val="ListParagraph"/>
              <w:numPr>
                <w:ilvl w:val="0"/>
                <w:numId w:val="25"/>
              </w:numPr>
              <w:rPr>
                <w:rFonts w:ascii="Arial" w:hAnsi="Arial" w:cs="Arial"/>
                <w:sz w:val="24"/>
                <w:szCs w:val="24"/>
              </w:rPr>
            </w:pPr>
            <w:r w:rsidRPr="007951FC">
              <w:rPr>
                <w:rFonts w:ascii="Arial" w:hAnsi="Arial" w:cs="Arial"/>
                <w:sz w:val="24"/>
                <w:szCs w:val="24"/>
              </w:rPr>
              <w:t xml:space="preserve">The delivery of engagement activities will occasionally involve unsociable hours and travel to venues across the Nottinghamshire area. </w:t>
            </w:r>
          </w:p>
          <w:p w:rsidR="00F43395" w:rsidRPr="001D2200" w:rsidRDefault="00F43395" w:rsidP="00E67175">
            <w:pPr>
              <w:ind w:left="360"/>
              <w:rPr>
                <w:rFonts w:ascii="Arial" w:hAnsi="Arial" w:cs="Arial"/>
                <w:sz w:val="24"/>
                <w:szCs w:val="24"/>
              </w:rPr>
            </w:pPr>
          </w:p>
          <w:p w:rsidR="00D821CC" w:rsidRPr="007951FC" w:rsidRDefault="00862B13" w:rsidP="007951FC">
            <w:pPr>
              <w:rPr>
                <w:rFonts w:ascii="Arial" w:hAnsi="Arial" w:cs="Arial"/>
                <w:sz w:val="24"/>
                <w:szCs w:val="24"/>
              </w:rPr>
            </w:pPr>
            <w:r w:rsidRPr="007951FC">
              <w:rPr>
                <w:rFonts w:ascii="Arial" w:hAnsi="Arial" w:cs="Arial"/>
                <w:b/>
                <w:sz w:val="24"/>
                <w:szCs w:val="24"/>
              </w:rPr>
              <w:t xml:space="preserve">Responsibilities </w:t>
            </w:r>
          </w:p>
          <w:p w:rsidR="001D2200" w:rsidRDefault="001D2200" w:rsidP="00D821CC">
            <w:pPr>
              <w:ind w:left="360"/>
              <w:rPr>
                <w:rFonts w:ascii="Arial" w:hAnsi="Arial" w:cs="Arial"/>
                <w:sz w:val="24"/>
                <w:szCs w:val="24"/>
              </w:rPr>
            </w:pPr>
          </w:p>
          <w:p w:rsidR="001F28CC" w:rsidRDefault="001F28CC" w:rsidP="001F28CC">
            <w:pPr>
              <w:numPr>
                <w:ilvl w:val="0"/>
                <w:numId w:val="25"/>
              </w:numPr>
              <w:rPr>
                <w:rFonts w:ascii="Arial" w:eastAsia="Calibri" w:hAnsi="Arial" w:cs="Arial"/>
                <w:sz w:val="24"/>
                <w:szCs w:val="24"/>
              </w:rPr>
            </w:pPr>
            <w:r w:rsidRPr="001F28CC">
              <w:rPr>
                <w:rFonts w:ascii="Arial" w:eastAsia="Calibri" w:hAnsi="Arial" w:cs="Arial"/>
                <w:sz w:val="24"/>
                <w:szCs w:val="24"/>
              </w:rPr>
              <w:t xml:space="preserve">To manage </w:t>
            </w:r>
            <w:r>
              <w:rPr>
                <w:rFonts w:ascii="Arial" w:eastAsia="Calibri" w:hAnsi="Arial" w:cs="Arial"/>
                <w:sz w:val="24"/>
                <w:szCs w:val="24"/>
              </w:rPr>
              <w:t>the operational delivery of patient and public involvement on behalf of the CCGs and ICS</w:t>
            </w:r>
            <w:r w:rsidR="00F66140">
              <w:rPr>
                <w:rFonts w:ascii="Arial" w:eastAsia="Calibri" w:hAnsi="Arial" w:cs="Arial"/>
                <w:sz w:val="24"/>
                <w:szCs w:val="24"/>
              </w:rPr>
              <w:t>.</w:t>
            </w:r>
          </w:p>
          <w:p w:rsidR="001F28CC" w:rsidRPr="001F28CC" w:rsidRDefault="001F28CC" w:rsidP="001F28CC">
            <w:pPr>
              <w:numPr>
                <w:ilvl w:val="0"/>
                <w:numId w:val="25"/>
              </w:numPr>
              <w:rPr>
                <w:rFonts w:ascii="Arial" w:eastAsia="Calibri" w:hAnsi="Arial" w:cs="Arial"/>
                <w:sz w:val="24"/>
                <w:szCs w:val="24"/>
              </w:rPr>
            </w:pPr>
            <w:r w:rsidRPr="001F28CC">
              <w:rPr>
                <w:rFonts w:ascii="Arial" w:eastAsia="Calibri" w:hAnsi="Arial" w:cs="Arial"/>
                <w:sz w:val="24"/>
                <w:szCs w:val="24"/>
              </w:rPr>
              <w:t>To provide expert advice</w:t>
            </w:r>
            <w:r w:rsidR="007951FC">
              <w:rPr>
                <w:rFonts w:ascii="Arial" w:eastAsia="Calibri" w:hAnsi="Arial" w:cs="Arial"/>
                <w:sz w:val="24"/>
                <w:szCs w:val="24"/>
              </w:rPr>
              <w:t xml:space="preserve"> and guidance</w:t>
            </w:r>
            <w:r w:rsidRPr="001F28CC">
              <w:rPr>
                <w:rFonts w:ascii="Arial" w:eastAsia="Calibri" w:hAnsi="Arial" w:cs="Arial"/>
                <w:sz w:val="24"/>
                <w:szCs w:val="24"/>
              </w:rPr>
              <w:t xml:space="preserve"> to staff </w:t>
            </w:r>
            <w:r>
              <w:rPr>
                <w:rFonts w:ascii="Arial" w:eastAsia="Calibri" w:hAnsi="Arial" w:cs="Arial"/>
                <w:sz w:val="24"/>
                <w:szCs w:val="24"/>
              </w:rPr>
              <w:t xml:space="preserve">across the CCGs and the ICS </w:t>
            </w:r>
            <w:r w:rsidR="005D3F69">
              <w:rPr>
                <w:rFonts w:ascii="Arial" w:eastAsia="Calibri" w:hAnsi="Arial" w:cs="Arial"/>
                <w:sz w:val="24"/>
                <w:szCs w:val="24"/>
              </w:rPr>
              <w:t xml:space="preserve">on </w:t>
            </w:r>
            <w:r>
              <w:rPr>
                <w:rFonts w:ascii="Arial" w:eastAsia="Calibri" w:hAnsi="Arial" w:cs="Arial"/>
                <w:sz w:val="24"/>
                <w:szCs w:val="24"/>
              </w:rPr>
              <w:t>appropriate patient and public involvement activities</w:t>
            </w:r>
            <w:r w:rsidR="00F66140">
              <w:rPr>
                <w:rFonts w:ascii="Arial" w:eastAsia="Calibri" w:hAnsi="Arial" w:cs="Arial"/>
                <w:sz w:val="24"/>
                <w:szCs w:val="24"/>
              </w:rPr>
              <w:t>.</w:t>
            </w:r>
          </w:p>
          <w:p w:rsidR="001F28CC" w:rsidRPr="001F28CC" w:rsidRDefault="001F28CC" w:rsidP="001F28CC">
            <w:pPr>
              <w:numPr>
                <w:ilvl w:val="0"/>
                <w:numId w:val="25"/>
              </w:numPr>
              <w:rPr>
                <w:rFonts w:ascii="Arial" w:eastAsia="Calibri" w:hAnsi="Arial" w:cs="Arial"/>
                <w:sz w:val="24"/>
                <w:szCs w:val="24"/>
              </w:rPr>
            </w:pPr>
            <w:r w:rsidRPr="001F28CC">
              <w:rPr>
                <w:rFonts w:ascii="Arial" w:eastAsia="Calibri" w:hAnsi="Arial" w:cs="Arial"/>
                <w:sz w:val="24"/>
                <w:szCs w:val="24"/>
              </w:rPr>
              <w:t xml:space="preserve">To work with the Head of </w:t>
            </w:r>
            <w:r>
              <w:rPr>
                <w:rFonts w:ascii="Arial" w:eastAsia="Calibri" w:hAnsi="Arial" w:cs="Arial"/>
                <w:sz w:val="24"/>
                <w:szCs w:val="24"/>
              </w:rPr>
              <w:t>Engagement</w:t>
            </w:r>
            <w:r w:rsidRPr="001F28CC">
              <w:rPr>
                <w:rFonts w:ascii="Arial" w:eastAsia="Calibri" w:hAnsi="Arial" w:cs="Arial"/>
                <w:sz w:val="24"/>
                <w:szCs w:val="24"/>
              </w:rPr>
              <w:t xml:space="preserve"> to develop and deliver </w:t>
            </w:r>
            <w:r w:rsidR="005D3F69">
              <w:rPr>
                <w:rFonts w:ascii="Arial" w:eastAsia="Calibri" w:hAnsi="Arial" w:cs="Arial"/>
                <w:sz w:val="24"/>
                <w:szCs w:val="24"/>
              </w:rPr>
              <w:t xml:space="preserve">a </w:t>
            </w:r>
            <w:r>
              <w:rPr>
                <w:rFonts w:ascii="Arial" w:eastAsia="Calibri" w:hAnsi="Arial" w:cs="Arial"/>
                <w:sz w:val="24"/>
                <w:szCs w:val="24"/>
              </w:rPr>
              <w:t>programme of engagement activity aligned to CCG and ICS priorities</w:t>
            </w:r>
            <w:r w:rsidR="00F66140">
              <w:rPr>
                <w:rFonts w:ascii="Arial" w:eastAsia="Calibri" w:hAnsi="Arial" w:cs="Arial"/>
                <w:sz w:val="24"/>
                <w:szCs w:val="24"/>
              </w:rPr>
              <w:t>.</w:t>
            </w:r>
          </w:p>
          <w:p w:rsidR="007C0FD9" w:rsidRDefault="007C0FD9" w:rsidP="007C0FD9">
            <w:pPr>
              <w:numPr>
                <w:ilvl w:val="0"/>
                <w:numId w:val="25"/>
              </w:numPr>
              <w:rPr>
                <w:rFonts w:ascii="Arial" w:eastAsia="Calibri" w:hAnsi="Arial" w:cs="Arial"/>
                <w:sz w:val="24"/>
                <w:szCs w:val="24"/>
              </w:rPr>
            </w:pPr>
            <w:r w:rsidRPr="001F28CC">
              <w:rPr>
                <w:rFonts w:ascii="Arial" w:eastAsia="Calibri" w:hAnsi="Arial" w:cs="Arial"/>
                <w:sz w:val="24"/>
                <w:szCs w:val="24"/>
              </w:rPr>
              <w:t xml:space="preserve">To work with the Head of </w:t>
            </w:r>
            <w:r>
              <w:rPr>
                <w:rFonts w:ascii="Arial" w:eastAsia="Calibri" w:hAnsi="Arial" w:cs="Arial"/>
                <w:sz w:val="24"/>
                <w:szCs w:val="24"/>
              </w:rPr>
              <w:t>Engagement</w:t>
            </w:r>
            <w:r w:rsidRPr="001F28CC">
              <w:rPr>
                <w:rFonts w:ascii="Arial" w:eastAsia="Calibri" w:hAnsi="Arial" w:cs="Arial"/>
                <w:sz w:val="24"/>
                <w:szCs w:val="24"/>
              </w:rPr>
              <w:t xml:space="preserve"> to develop and deliver </w:t>
            </w:r>
            <w:r>
              <w:rPr>
                <w:rFonts w:ascii="Arial" w:eastAsia="Calibri" w:hAnsi="Arial" w:cs="Arial"/>
                <w:sz w:val="24"/>
                <w:szCs w:val="24"/>
              </w:rPr>
              <w:t>a work programme for the CCGs’ patient committees</w:t>
            </w:r>
            <w:r w:rsidR="00F66140">
              <w:rPr>
                <w:rFonts w:ascii="Arial" w:eastAsia="Calibri" w:hAnsi="Arial" w:cs="Arial"/>
                <w:sz w:val="24"/>
                <w:szCs w:val="24"/>
              </w:rPr>
              <w:t>.</w:t>
            </w:r>
          </w:p>
          <w:p w:rsidR="00F66140" w:rsidRDefault="00F66140" w:rsidP="007C0FD9">
            <w:pPr>
              <w:numPr>
                <w:ilvl w:val="0"/>
                <w:numId w:val="25"/>
              </w:numPr>
              <w:rPr>
                <w:rFonts w:ascii="Arial" w:eastAsia="Calibri" w:hAnsi="Arial" w:cs="Arial"/>
                <w:sz w:val="24"/>
                <w:szCs w:val="24"/>
              </w:rPr>
            </w:pPr>
            <w:r>
              <w:rPr>
                <w:rFonts w:ascii="Arial" w:eastAsia="Calibri" w:hAnsi="Arial" w:cs="Arial"/>
                <w:sz w:val="24"/>
                <w:szCs w:val="24"/>
              </w:rPr>
              <w:t>To work with the Head of Engagement to deliver a work programme for the ICS Partnership Forum.</w:t>
            </w:r>
          </w:p>
          <w:p w:rsidR="001F28CC" w:rsidRDefault="007C0FD9" w:rsidP="001F28CC">
            <w:pPr>
              <w:numPr>
                <w:ilvl w:val="0"/>
                <w:numId w:val="25"/>
              </w:numPr>
              <w:rPr>
                <w:rFonts w:ascii="Arial" w:eastAsia="Calibri" w:hAnsi="Arial" w:cs="Arial"/>
                <w:sz w:val="24"/>
                <w:szCs w:val="24"/>
              </w:rPr>
            </w:pPr>
            <w:r>
              <w:rPr>
                <w:rFonts w:ascii="Arial" w:eastAsia="Calibri" w:hAnsi="Arial" w:cs="Arial"/>
                <w:sz w:val="24"/>
                <w:szCs w:val="24"/>
              </w:rPr>
              <w:t>Liaise with colleagues across</w:t>
            </w:r>
            <w:r w:rsidR="005D3F69">
              <w:rPr>
                <w:rFonts w:ascii="Arial" w:eastAsia="Calibri" w:hAnsi="Arial" w:cs="Arial"/>
                <w:sz w:val="24"/>
                <w:szCs w:val="24"/>
              </w:rPr>
              <w:t xml:space="preserve"> health, Local Authorities and</w:t>
            </w:r>
            <w:r>
              <w:rPr>
                <w:rFonts w:ascii="Arial" w:eastAsia="Calibri" w:hAnsi="Arial" w:cs="Arial"/>
                <w:sz w:val="24"/>
                <w:szCs w:val="24"/>
              </w:rPr>
              <w:t xml:space="preserve"> the voluntary and community sector to support the alignment of engagement activity across the health and care system</w:t>
            </w:r>
            <w:r w:rsidR="00F66140">
              <w:rPr>
                <w:rFonts w:ascii="Arial" w:eastAsia="Calibri" w:hAnsi="Arial" w:cs="Arial"/>
                <w:sz w:val="24"/>
                <w:szCs w:val="24"/>
              </w:rPr>
              <w:t>.</w:t>
            </w:r>
          </w:p>
          <w:p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 xml:space="preserve">To provide operational management </w:t>
            </w:r>
            <w:r>
              <w:rPr>
                <w:rFonts w:ascii="Arial" w:eastAsia="Calibri" w:hAnsi="Arial" w:cs="Arial"/>
                <w:sz w:val="24"/>
                <w:szCs w:val="24"/>
              </w:rPr>
              <w:t>and delivery of specific programmes of engagement work aligned to CCG and ICS priorities</w:t>
            </w:r>
            <w:r w:rsidR="00F66140">
              <w:rPr>
                <w:rFonts w:ascii="Arial" w:eastAsia="Calibri" w:hAnsi="Arial" w:cs="Arial"/>
                <w:sz w:val="24"/>
                <w:szCs w:val="24"/>
              </w:rPr>
              <w:t>.</w:t>
            </w:r>
          </w:p>
          <w:p w:rsidR="007C0FD9" w:rsidRPr="007C0FD9" w:rsidRDefault="007C0FD9" w:rsidP="007C0FD9">
            <w:pPr>
              <w:numPr>
                <w:ilvl w:val="0"/>
                <w:numId w:val="25"/>
              </w:numPr>
              <w:rPr>
                <w:rFonts w:ascii="Arial" w:eastAsia="Calibri" w:hAnsi="Arial" w:cs="Arial"/>
                <w:sz w:val="24"/>
                <w:szCs w:val="24"/>
              </w:rPr>
            </w:pPr>
            <w:r>
              <w:rPr>
                <w:rFonts w:ascii="Arial" w:eastAsia="Calibri" w:hAnsi="Arial" w:cs="Arial"/>
                <w:sz w:val="24"/>
                <w:szCs w:val="24"/>
              </w:rPr>
              <w:t>Provide advice and guidance to ensure that the CCG</w:t>
            </w:r>
            <w:r w:rsidR="005D3F69">
              <w:rPr>
                <w:rFonts w:ascii="Arial" w:eastAsia="Calibri" w:hAnsi="Arial" w:cs="Arial"/>
                <w:sz w:val="24"/>
                <w:szCs w:val="24"/>
              </w:rPr>
              <w:t>s</w:t>
            </w:r>
            <w:r>
              <w:rPr>
                <w:rFonts w:ascii="Arial" w:eastAsia="Calibri" w:hAnsi="Arial" w:cs="Arial"/>
                <w:sz w:val="24"/>
                <w:szCs w:val="24"/>
              </w:rPr>
              <w:t xml:space="preserve"> meet </w:t>
            </w:r>
            <w:r w:rsidR="005D3F69">
              <w:rPr>
                <w:rFonts w:ascii="Arial" w:eastAsia="Calibri" w:hAnsi="Arial" w:cs="Arial"/>
                <w:sz w:val="24"/>
                <w:szCs w:val="24"/>
              </w:rPr>
              <w:t>their</w:t>
            </w:r>
            <w:r>
              <w:rPr>
                <w:rFonts w:ascii="Arial" w:eastAsia="Calibri" w:hAnsi="Arial" w:cs="Arial"/>
                <w:sz w:val="24"/>
                <w:szCs w:val="24"/>
              </w:rPr>
              <w:t xml:space="preserve"> statutory duties for patient and public involvement</w:t>
            </w:r>
            <w:r w:rsidR="00EA5F25">
              <w:rPr>
                <w:rFonts w:ascii="Arial" w:eastAsia="Calibri" w:hAnsi="Arial" w:cs="Arial"/>
                <w:sz w:val="24"/>
                <w:szCs w:val="24"/>
              </w:rPr>
              <w:t xml:space="preserve"> including co-ordinating with the QIPP PMO on potential re/decommissioning activities</w:t>
            </w:r>
            <w:r w:rsidR="00F66140">
              <w:rPr>
                <w:rFonts w:ascii="Arial" w:eastAsia="Calibri" w:hAnsi="Arial" w:cs="Arial"/>
                <w:sz w:val="24"/>
                <w:szCs w:val="24"/>
              </w:rPr>
              <w:t>.</w:t>
            </w:r>
          </w:p>
          <w:p w:rsidR="007C0FD9" w:rsidRPr="007C0FD9" w:rsidRDefault="007C0FD9" w:rsidP="007C0FD9">
            <w:pPr>
              <w:pStyle w:val="ListParagraph"/>
              <w:numPr>
                <w:ilvl w:val="0"/>
                <w:numId w:val="25"/>
              </w:numPr>
              <w:rPr>
                <w:rFonts w:ascii="Arial" w:eastAsia="Calibri" w:hAnsi="Arial" w:cs="Arial"/>
                <w:sz w:val="24"/>
                <w:szCs w:val="24"/>
              </w:rPr>
            </w:pPr>
            <w:r w:rsidRPr="007C0FD9">
              <w:rPr>
                <w:rFonts w:ascii="Arial" w:eastAsia="Calibri" w:hAnsi="Arial" w:cs="Arial"/>
                <w:sz w:val="24"/>
                <w:szCs w:val="24"/>
              </w:rPr>
              <w:t xml:space="preserve">Proactively build relationships with, and seek participation from, communities (including seldom heard groups) who experience the greatest health inequalities and poorest health outcomes, developing a wide range of </w:t>
            </w:r>
            <w:r>
              <w:rPr>
                <w:rFonts w:ascii="Arial" w:eastAsia="Calibri" w:hAnsi="Arial" w:cs="Arial"/>
                <w:sz w:val="24"/>
                <w:szCs w:val="24"/>
              </w:rPr>
              <w:t>techniques</w:t>
            </w:r>
            <w:r w:rsidRPr="007C0FD9">
              <w:rPr>
                <w:rFonts w:ascii="Arial" w:eastAsia="Calibri" w:hAnsi="Arial" w:cs="Arial"/>
                <w:sz w:val="24"/>
                <w:szCs w:val="24"/>
              </w:rPr>
              <w:t xml:space="preserve"> to engage and involve them.</w:t>
            </w:r>
          </w:p>
          <w:p w:rsidR="007C0FD9" w:rsidRDefault="007C0FD9" w:rsidP="007C0FD9">
            <w:pPr>
              <w:pStyle w:val="ListParagraph"/>
              <w:numPr>
                <w:ilvl w:val="0"/>
                <w:numId w:val="25"/>
              </w:numPr>
              <w:rPr>
                <w:rFonts w:ascii="Arial" w:eastAsia="Calibri" w:hAnsi="Arial" w:cs="Arial"/>
                <w:sz w:val="24"/>
                <w:szCs w:val="24"/>
              </w:rPr>
            </w:pPr>
            <w:r>
              <w:rPr>
                <w:rFonts w:ascii="Arial" w:eastAsia="Calibri" w:hAnsi="Arial" w:cs="Arial"/>
                <w:sz w:val="24"/>
                <w:szCs w:val="24"/>
              </w:rPr>
              <w:t>Develop and implement</w:t>
            </w:r>
            <w:r w:rsidRPr="007C0FD9">
              <w:rPr>
                <w:rFonts w:ascii="Arial" w:eastAsia="Calibri" w:hAnsi="Arial" w:cs="Arial"/>
                <w:sz w:val="24"/>
                <w:szCs w:val="24"/>
              </w:rPr>
              <w:t xml:space="preserve"> processes and systems that enable high quality patient and public engagement activity to be delivered</w:t>
            </w:r>
            <w:r>
              <w:rPr>
                <w:rFonts w:ascii="Arial" w:eastAsia="Calibri" w:hAnsi="Arial" w:cs="Arial"/>
                <w:sz w:val="24"/>
                <w:szCs w:val="24"/>
              </w:rPr>
              <w:t>, including the use of digital technology for engagement</w:t>
            </w:r>
          </w:p>
          <w:p w:rsidR="007951FC" w:rsidRPr="007951FC" w:rsidRDefault="007951FC" w:rsidP="007951FC">
            <w:pPr>
              <w:numPr>
                <w:ilvl w:val="0"/>
                <w:numId w:val="25"/>
              </w:numPr>
              <w:autoSpaceDE w:val="0"/>
              <w:autoSpaceDN w:val="0"/>
              <w:adjustRightInd w:val="0"/>
              <w:rPr>
                <w:rFonts w:ascii="Arial" w:eastAsia="Times New Roman" w:hAnsi="Arial" w:cs="Arial"/>
                <w:sz w:val="24"/>
                <w:szCs w:val="24"/>
                <w:lang w:val="en-US"/>
              </w:rPr>
            </w:pPr>
            <w:r w:rsidRPr="003223BB">
              <w:rPr>
                <w:rFonts w:ascii="Arial" w:eastAsia="Times New Roman" w:hAnsi="Arial" w:cs="Arial"/>
                <w:sz w:val="24"/>
                <w:szCs w:val="24"/>
                <w:lang w:val="en-US"/>
              </w:rPr>
              <w:t xml:space="preserve">Develop policies and procedures </w:t>
            </w:r>
            <w:r>
              <w:rPr>
                <w:rFonts w:ascii="Arial" w:eastAsia="Times New Roman" w:hAnsi="Arial" w:cs="Arial"/>
                <w:sz w:val="24"/>
                <w:szCs w:val="24"/>
                <w:lang w:val="en-US"/>
              </w:rPr>
              <w:t>as required for patient and public involvement</w:t>
            </w:r>
            <w:r w:rsidR="00F66140">
              <w:rPr>
                <w:rFonts w:ascii="Arial" w:eastAsia="Times New Roman" w:hAnsi="Arial" w:cs="Arial"/>
                <w:sz w:val="24"/>
                <w:szCs w:val="24"/>
                <w:lang w:val="en-US"/>
              </w:rPr>
              <w:t>.</w:t>
            </w:r>
          </w:p>
          <w:p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 xml:space="preserve">Ensure effective stakeholder management, including maintaining relationships with key </w:t>
            </w:r>
            <w:r w:rsidRPr="007C0FD9">
              <w:rPr>
                <w:rFonts w:ascii="Arial" w:eastAsia="Calibri" w:hAnsi="Arial" w:cs="Arial"/>
                <w:sz w:val="24"/>
                <w:szCs w:val="24"/>
              </w:rPr>
              <w:lastRenderedPageBreak/>
              <w:t>stakeholders and attendance</w:t>
            </w:r>
            <w:r w:rsidR="005D3F69">
              <w:rPr>
                <w:rFonts w:ascii="Arial" w:eastAsia="Calibri" w:hAnsi="Arial" w:cs="Arial"/>
                <w:sz w:val="24"/>
                <w:szCs w:val="24"/>
              </w:rPr>
              <w:t xml:space="preserve"> at stakeholder/partner meetings</w:t>
            </w:r>
            <w:r w:rsidRPr="007C0FD9">
              <w:rPr>
                <w:rFonts w:ascii="Arial" w:eastAsia="Calibri" w:hAnsi="Arial" w:cs="Arial"/>
                <w:sz w:val="24"/>
                <w:szCs w:val="24"/>
              </w:rPr>
              <w:t>.</w:t>
            </w:r>
          </w:p>
          <w:p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 xml:space="preserve">Produce progress reports and briefings for presentation at </w:t>
            </w:r>
            <w:r w:rsidR="005D3F69">
              <w:rPr>
                <w:rFonts w:ascii="Arial" w:eastAsia="Calibri" w:hAnsi="Arial" w:cs="Arial"/>
                <w:sz w:val="24"/>
                <w:szCs w:val="24"/>
              </w:rPr>
              <w:t>Board meetings.</w:t>
            </w:r>
          </w:p>
          <w:p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Attend relevant engagement forums and networks to develop strong and productive relationships with Engagement Leads in other NHS organisations and with wider stakeholders/partner organisations.</w:t>
            </w:r>
          </w:p>
          <w:p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 xml:space="preserve">Deputise for the Head Engagement, as appropriate. </w:t>
            </w:r>
          </w:p>
          <w:p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Undertake such other duties as may be reasonably required from time to time as are consistent with the responsibility and scale of the post.</w:t>
            </w:r>
          </w:p>
          <w:p w:rsidR="00582806" w:rsidRPr="001D2200" w:rsidRDefault="00582806" w:rsidP="00D821CC">
            <w:pPr>
              <w:ind w:left="360"/>
              <w:rPr>
                <w:rFonts w:ascii="Arial" w:hAnsi="Arial" w:cs="Arial"/>
                <w:sz w:val="24"/>
                <w:szCs w:val="24"/>
              </w:rPr>
            </w:pPr>
          </w:p>
          <w:p w:rsidR="00862B13" w:rsidRPr="007951FC" w:rsidRDefault="00862B13" w:rsidP="007951FC">
            <w:pPr>
              <w:rPr>
                <w:rFonts w:ascii="Arial" w:hAnsi="Arial" w:cs="Arial"/>
                <w:sz w:val="24"/>
                <w:szCs w:val="24"/>
              </w:rPr>
            </w:pPr>
            <w:r w:rsidRPr="007951FC">
              <w:rPr>
                <w:rFonts w:ascii="Arial" w:hAnsi="Arial" w:cs="Arial"/>
                <w:b/>
                <w:sz w:val="24"/>
                <w:szCs w:val="24"/>
              </w:rPr>
              <w:t>Freedom to act</w:t>
            </w:r>
          </w:p>
          <w:p w:rsidR="007951FC" w:rsidRPr="007951FC" w:rsidRDefault="007951FC" w:rsidP="00E60A85">
            <w:pPr>
              <w:rPr>
                <w:rFonts w:ascii="Arial" w:hAnsi="Arial" w:cs="Arial"/>
                <w:sz w:val="24"/>
                <w:szCs w:val="24"/>
              </w:rPr>
            </w:pPr>
            <w:r>
              <w:rPr>
                <w:rFonts w:ascii="Arial" w:hAnsi="Arial" w:cs="Arial"/>
                <w:sz w:val="24"/>
                <w:szCs w:val="24"/>
              </w:rPr>
              <w:t xml:space="preserve">The post holder acts with a high degree of autonomy in managing the operational delivery of engagement, in line with CCG and ICS priorities. </w:t>
            </w:r>
          </w:p>
          <w:p w:rsidR="00E67175" w:rsidRDefault="00E67175" w:rsidP="00E67175">
            <w:pPr>
              <w:ind w:left="360"/>
              <w:rPr>
                <w:rFonts w:ascii="Arial" w:hAnsi="Arial" w:cs="Arial"/>
                <w:sz w:val="24"/>
                <w:szCs w:val="24"/>
              </w:rPr>
            </w:pPr>
          </w:p>
          <w:p w:rsidR="00862B13" w:rsidRDefault="00862B13" w:rsidP="007951FC">
            <w:pPr>
              <w:rPr>
                <w:rFonts w:ascii="Arial" w:hAnsi="Arial" w:cs="Arial"/>
                <w:b/>
                <w:sz w:val="24"/>
                <w:szCs w:val="24"/>
              </w:rPr>
            </w:pPr>
            <w:r w:rsidRPr="007951FC">
              <w:rPr>
                <w:rFonts w:ascii="Arial" w:hAnsi="Arial" w:cs="Arial"/>
                <w:b/>
                <w:sz w:val="24"/>
                <w:szCs w:val="24"/>
              </w:rPr>
              <w:t>Effort and Environmental factors</w:t>
            </w:r>
          </w:p>
          <w:p w:rsidR="007951FC" w:rsidRDefault="007951FC" w:rsidP="007951FC">
            <w:pPr>
              <w:rPr>
                <w:rFonts w:ascii="Arial" w:hAnsi="Arial" w:cs="Arial"/>
                <w:sz w:val="24"/>
                <w:szCs w:val="24"/>
              </w:rPr>
            </w:pPr>
            <w:r w:rsidRPr="007951FC">
              <w:rPr>
                <w:rFonts w:ascii="Arial" w:hAnsi="Arial" w:cs="Arial"/>
                <w:sz w:val="24"/>
                <w:szCs w:val="24"/>
              </w:rPr>
              <w:t xml:space="preserve">The role requires a high level of concentration for some analytical tasks. </w:t>
            </w:r>
            <w:r>
              <w:rPr>
                <w:rFonts w:ascii="Arial" w:hAnsi="Arial" w:cs="Arial"/>
                <w:sz w:val="24"/>
                <w:szCs w:val="24"/>
              </w:rPr>
              <w:t xml:space="preserve">The operational delivery of engagement can involve difficult conversations with stakeholders, volunteers and patient and community representatives. </w:t>
            </w:r>
          </w:p>
          <w:p w:rsidR="007951FC" w:rsidRDefault="007951FC" w:rsidP="007951FC">
            <w:pPr>
              <w:rPr>
                <w:rFonts w:ascii="Arial" w:hAnsi="Arial" w:cs="Arial"/>
                <w:sz w:val="24"/>
                <w:szCs w:val="24"/>
              </w:rPr>
            </w:pPr>
          </w:p>
          <w:p w:rsidR="007951FC" w:rsidRPr="007951FC" w:rsidRDefault="007951FC" w:rsidP="007951FC">
            <w:pPr>
              <w:rPr>
                <w:rFonts w:ascii="Arial" w:hAnsi="Arial" w:cs="Arial"/>
                <w:sz w:val="24"/>
                <w:szCs w:val="24"/>
              </w:rPr>
            </w:pPr>
            <w:r w:rsidRPr="007951FC">
              <w:rPr>
                <w:rFonts w:ascii="Arial" w:hAnsi="Arial" w:cs="Arial"/>
                <w:sz w:val="24"/>
                <w:szCs w:val="24"/>
              </w:rPr>
              <w:t>The delivery of engagement activities will occasionally involve unsociable hours and travel to venues across the Nottinghamshire area.</w:t>
            </w:r>
          </w:p>
          <w:p w:rsidR="00862B13" w:rsidRPr="001D2200" w:rsidRDefault="00862B13" w:rsidP="00A82C66">
            <w:pPr>
              <w:rPr>
                <w:rFonts w:ascii="Arial" w:hAnsi="Arial" w:cs="Arial"/>
                <w:sz w:val="24"/>
                <w:szCs w:val="24"/>
              </w:rPr>
            </w:pPr>
          </w:p>
        </w:tc>
      </w:tr>
    </w:tbl>
    <w:p w:rsidR="007E30E8" w:rsidRPr="001D2200" w:rsidRDefault="007E30E8">
      <w:pPr>
        <w:rPr>
          <w:rFonts w:ascii="Arial" w:hAnsi="Arial" w:cs="Arial"/>
          <w:sz w:val="24"/>
          <w:szCs w:val="24"/>
        </w:rPr>
      </w:pPr>
      <w:r w:rsidRPr="001D2200">
        <w:rPr>
          <w:rFonts w:ascii="Arial" w:hAnsi="Arial" w:cs="Arial"/>
          <w:sz w:val="24"/>
          <w:szCs w:val="24"/>
        </w:rPr>
        <w:lastRenderedPageBreak/>
        <w:br w:type="page"/>
      </w:r>
    </w:p>
    <w:p w:rsidR="00812B59" w:rsidRDefault="00A82C66" w:rsidP="007B61FC">
      <w:pPr>
        <w:pStyle w:val="Title"/>
        <w:pBdr>
          <w:bottom w:val="none" w:sz="0" w:space="0" w:color="auto"/>
        </w:pBdr>
        <w:rPr>
          <w:rFonts w:ascii="Arial" w:hAnsi="Arial" w:cs="Arial"/>
        </w:rPr>
      </w:pPr>
      <w:r>
        <w:rPr>
          <w:rFonts w:ascii="Arial" w:hAnsi="Arial" w:cs="Arial"/>
        </w:rPr>
        <w:lastRenderedPageBreak/>
        <w:t>Person S</w:t>
      </w:r>
      <w:r w:rsidR="00812B59">
        <w:rPr>
          <w:rFonts w:ascii="Arial" w:hAnsi="Arial" w:cs="Arial"/>
        </w:rPr>
        <w:t>pecification</w:t>
      </w:r>
    </w:p>
    <w:tbl>
      <w:tblPr>
        <w:tblStyle w:val="LightList-Accent11"/>
        <w:tblW w:w="10536" w:type="dxa"/>
        <w:jc w:val="center"/>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10536"/>
      </w:tblGrid>
      <w:tr w:rsidR="00812B59" w:rsidRPr="007E30E8" w:rsidTr="00E6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4" w:space="0" w:color="8496B0" w:themeColor="text2" w:themeTint="99"/>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Skills and Capabilities</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rsidR="00812B59" w:rsidRPr="006F545A" w:rsidRDefault="006F545A">
            <w:pPr>
              <w:rPr>
                <w:rFonts w:ascii="Arial" w:eastAsia="Times New Roman" w:hAnsi="Arial" w:cs="Arial"/>
                <w:b w:val="0"/>
                <w:sz w:val="24"/>
                <w:szCs w:val="24"/>
              </w:rPr>
            </w:pPr>
            <w:r w:rsidRPr="006F545A">
              <w:rPr>
                <w:rFonts w:ascii="Arial" w:eastAsia="Times New Roman" w:hAnsi="Arial" w:cs="Arial"/>
                <w:b w:val="0"/>
                <w:sz w:val="24"/>
                <w:szCs w:val="24"/>
              </w:rPr>
              <w:t xml:space="preserve">Ability to prepare and produce </w:t>
            </w:r>
            <w:r w:rsidR="007951FC">
              <w:rPr>
                <w:rFonts w:ascii="Arial" w:eastAsia="Times New Roman" w:hAnsi="Arial" w:cs="Arial"/>
                <w:b w:val="0"/>
                <w:sz w:val="24"/>
                <w:szCs w:val="24"/>
              </w:rPr>
              <w:t>concise reports and presentations on complex issues for presentation to a wide range of audiences, including volunteers and patient and community representatives</w:t>
            </w:r>
          </w:p>
        </w:tc>
      </w:tr>
      <w:tr w:rsidR="00812B59"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812B59" w:rsidRPr="006F545A" w:rsidRDefault="006F545A">
            <w:pPr>
              <w:rPr>
                <w:rFonts w:ascii="Arial" w:eastAsia="Times New Roman" w:hAnsi="Arial" w:cs="Arial"/>
                <w:b w:val="0"/>
                <w:sz w:val="24"/>
                <w:szCs w:val="24"/>
              </w:rPr>
            </w:pPr>
            <w:r w:rsidRPr="006F545A">
              <w:rPr>
                <w:rFonts w:ascii="Arial" w:eastAsia="Times New Roman" w:hAnsi="Arial" w:cs="Arial"/>
                <w:b w:val="0"/>
                <w:sz w:val="24"/>
                <w:szCs w:val="24"/>
              </w:rPr>
              <w:t>Ability to analyse very complex issues where material is conflicting a</w:t>
            </w:r>
            <w:r>
              <w:rPr>
                <w:rFonts w:ascii="Arial" w:eastAsia="Times New Roman" w:hAnsi="Arial" w:cs="Arial"/>
                <w:b w:val="0"/>
                <w:sz w:val="24"/>
                <w:szCs w:val="24"/>
              </w:rPr>
              <w:t xml:space="preserve">nd drawn from multiple </w:t>
            </w:r>
            <w:r w:rsidR="00D76318">
              <w:rPr>
                <w:rFonts w:ascii="Arial" w:eastAsia="Times New Roman" w:hAnsi="Arial" w:cs="Arial"/>
                <w:b w:val="0"/>
                <w:sz w:val="24"/>
                <w:szCs w:val="24"/>
              </w:rPr>
              <w:t>sources</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rsidR="00812B59" w:rsidRPr="006F545A" w:rsidRDefault="006F545A" w:rsidP="00D76318">
            <w:pPr>
              <w:rPr>
                <w:rFonts w:ascii="Arial" w:eastAsia="Times New Roman" w:hAnsi="Arial" w:cs="Arial"/>
                <w:b w:val="0"/>
                <w:sz w:val="24"/>
                <w:szCs w:val="24"/>
              </w:rPr>
            </w:pPr>
            <w:r w:rsidRPr="006F545A">
              <w:rPr>
                <w:rFonts w:ascii="Arial" w:eastAsia="Times New Roman" w:hAnsi="Arial" w:cs="Arial"/>
                <w:b w:val="0"/>
                <w:sz w:val="24"/>
                <w:szCs w:val="24"/>
              </w:rPr>
              <w:t xml:space="preserve">Demonstrated capability to act upon incomplete information, using experience to make </w:t>
            </w:r>
            <w:r>
              <w:rPr>
                <w:rFonts w:ascii="Arial" w:eastAsia="Times New Roman" w:hAnsi="Arial" w:cs="Arial"/>
                <w:b w:val="0"/>
                <w:sz w:val="24"/>
                <w:szCs w:val="24"/>
              </w:rPr>
              <w:t xml:space="preserve">inferences and </w:t>
            </w:r>
            <w:r w:rsidR="00D76318">
              <w:rPr>
                <w:rFonts w:ascii="Arial" w:eastAsia="Times New Roman" w:hAnsi="Arial" w:cs="Arial"/>
                <w:b w:val="0"/>
                <w:sz w:val="24"/>
                <w:szCs w:val="24"/>
              </w:rPr>
              <w:t>make decisions</w:t>
            </w:r>
          </w:p>
        </w:tc>
      </w:tr>
      <w:tr w:rsidR="00812B59"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rsidR="00812B59" w:rsidRPr="006F545A" w:rsidRDefault="006F545A">
            <w:pPr>
              <w:rPr>
                <w:rFonts w:ascii="Arial" w:eastAsia="Times New Roman" w:hAnsi="Arial" w:cs="Arial"/>
                <w:b w:val="0"/>
                <w:sz w:val="24"/>
                <w:szCs w:val="24"/>
              </w:rPr>
            </w:pPr>
            <w:r w:rsidRPr="006F545A">
              <w:rPr>
                <w:rFonts w:ascii="Arial" w:eastAsia="Times New Roman" w:hAnsi="Arial" w:cs="Arial"/>
                <w:b w:val="0"/>
                <w:sz w:val="24"/>
                <w:szCs w:val="24"/>
              </w:rPr>
              <w:t>Demonstrated capability to plan over short, medium and long-term timeframes and adjust plans and re</w:t>
            </w:r>
            <w:r>
              <w:rPr>
                <w:rFonts w:ascii="Arial" w:eastAsia="Times New Roman" w:hAnsi="Arial" w:cs="Arial"/>
                <w:b w:val="0"/>
                <w:sz w:val="24"/>
                <w:szCs w:val="24"/>
              </w:rPr>
              <w:t>source requirements accordingly</w:t>
            </w:r>
          </w:p>
        </w:tc>
      </w:tr>
      <w:tr w:rsidR="006D15D2"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rsidR="006D15D2" w:rsidRPr="006D15D2" w:rsidRDefault="006D15D2" w:rsidP="006D15D2">
            <w:pPr>
              <w:rPr>
                <w:rFonts w:ascii="Arial" w:eastAsia="Calibri" w:hAnsi="Arial" w:cs="Arial"/>
                <w:b w:val="0"/>
                <w:bCs w:val="0"/>
                <w:sz w:val="24"/>
                <w:szCs w:val="24"/>
              </w:rPr>
            </w:pPr>
            <w:r w:rsidRPr="006D15D2">
              <w:rPr>
                <w:rFonts w:ascii="Arial" w:hAnsi="Arial" w:cs="Arial"/>
                <w:b w:val="0"/>
                <w:sz w:val="24"/>
                <w:szCs w:val="24"/>
              </w:rPr>
              <w:t>Ability to set up and implement sy</w:t>
            </w:r>
            <w:r w:rsidR="00D76318">
              <w:rPr>
                <w:rFonts w:ascii="Arial" w:hAnsi="Arial" w:cs="Arial"/>
                <w:b w:val="0"/>
                <w:sz w:val="24"/>
                <w:szCs w:val="24"/>
              </w:rPr>
              <w:t>stems, processes and procedures</w:t>
            </w:r>
          </w:p>
          <w:p w:rsidR="006D15D2" w:rsidRPr="006D15D2" w:rsidRDefault="006D15D2" w:rsidP="006D15D2">
            <w:pPr>
              <w:rPr>
                <w:rFonts w:ascii="Arial" w:eastAsia="Times New Roman" w:hAnsi="Arial" w:cs="Arial"/>
                <w:b w:val="0"/>
                <w:sz w:val="24"/>
                <w:szCs w:val="24"/>
              </w:rPr>
            </w:pPr>
          </w:p>
        </w:tc>
      </w:tr>
      <w:tr w:rsidR="006D15D2"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rsidR="006D15D2" w:rsidRPr="006D15D2" w:rsidRDefault="00D76318" w:rsidP="006D15D2">
            <w:pPr>
              <w:rPr>
                <w:rFonts w:ascii="Arial" w:eastAsia="Calibri" w:hAnsi="Arial" w:cs="Arial"/>
                <w:b w:val="0"/>
                <w:bCs w:val="0"/>
                <w:sz w:val="24"/>
                <w:szCs w:val="24"/>
              </w:rPr>
            </w:pPr>
            <w:r>
              <w:rPr>
                <w:rFonts w:ascii="Arial" w:eastAsia="Calibri" w:hAnsi="Arial" w:cs="Arial"/>
                <w:b w:val="0"/>
                <w:sz w:val="24"/>
                <w:szCs w:val="24"/>
              </w:rPr>
              <w:t>Excellent organisation</w:t>
            </w:r>
            <w:r w:rsidR="006D15D2" w:rsidRPr="006D15D2">
              <w:rPr>
                <w:rFonts w:ascii="Arial" w:eastAsia="Calibri" w:hAnsi="Arial" w:cs="Arial"/>
                <w:b w:val="0"/>
                <w:sz w:val="24"/>
                <w:szCs w:val="24"/>
              </w:rPr>
              <w:t xml:space="preserve"> and prioritisation skills</w:t>
            </w:r>
          </w:p>
          <w:p w:rsidR="006D15D2" w:rsidRPr="006D15D2" w:rsidRDefault="006D15D2" w:rsidP="006D15D2">
            <w:pPr>
              <w:rPr>
                <w:rFonts w:ascii="Arial" w:eastAsia="Times New Roman" w:hAnsi="Arial" w:cs="Arial"/>
                <w:b w:val="0"/>
                <w:sz w:val="24"/>
                <w:szCs w:val="24"/>
              </w:rPr>
            </w:pPr>
          </w:p>
        </w:tc>
      </w:tr>
      <w:tr w:rsidR="006D15D2"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rsidR="006D15D2" w:rsidRPr="006D15D2" w:rsidRDefault="006D15D2" w:rsidP="006D15D2">
            <w:pPr>
              <w:rPr>
                <w:rFonts w:ascii="Arial" w:eastAsia="Calibri" w:hAnsi="Arial" w:cs="Arial"/>
                <w:b w:val="0"/>
                <w:bCs w:val="0"/>
                <w:sz w:val="24"/>
                <w:szCs w:val="24"/>
              </w:rPr>
            </w:pPr>
            <w:r w:rsidRPr="006D15D2">
              <w:rPr>
                <w:rFonts w:ascii="Arial" w:eastAsia="Calibri" w:hAnsi="Arial" w:cs="Arial"/>
                <w:b w:val="0"/>
                <w:sz w:val="24"/>
                <w:szCs w:val="24"/>
              </w:rPr>
              <w:t>Excellent facilitation skills</w:t>
            </w:r>
            <w:r>
              <w:rPr>
                <w:rFonts w:ascii="Arial" w:eastAsia="Calibri" w:hAnsi="Arial" w:cs="Arial"/>
                <w:b w:val="0"/>
                <w:sz w:val="24"/>
                <w:szCs w:val="24"/>
              </w:rPr>
              <w:t>, including the ability to deliver engagement activities</w:t>
            </w:r>
          </w:p>
          <w:p w:rsidR="006D15D2" w:rsidRPr="006D15D2" w:rsidRDefault="006D15D2" w:rsidP="006D15D2">
            <w:pPr>
              <w:rPr>
                <w:rFonts w:ascii="Arial" w:eastAsia="Times New Roman" w:hAnsi="Arial" w:cs="Arial"/>
                <w:b w:val="0"/>
                <w:sz w:val="24"/>
                <w:szCs w:val="24"/>
              </w:rPr>
            </w:pPr>
          </w:p>
        </w:tc>
      </w:tr>
      <w:tr w:rsidR="006D15D2"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rsidR="006D15D2" w:rsidRPr="005D3F69" w:rsidRDefault="006D15D2" w:rsidP="006D15D2">
            <w:pPr>
              <w:rPr>
                <w:rFonts w:ascii="Arial" w:eastAsia="Calibri" w:hAnsi="Arial" w:cs="Arial"/>
                <w:b w:val="0"/>
                <w:bCs w:val="0"/>
                <w:sz w:val="24"/>
                <w:szCs w:val="24"/>
              </w:rPr>
            </w:pPr>
            <w:r w:rsidRPr="006D15D2">
              <w:rPr>
                <w:rFonts w:ascii="Arial" w:eastAsia="Calibri" w:hAnsi="Arial" w:cs="Arial"/>
                <w:b w:val="0"/>
                <w:sz w:val="24"/>
                <w:szCs w:val="24"/>
              </w:rPr>
              <w:t>Excellent written and verbal communication skills, particularly the ability to use language appropriate to the audience</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Knowledge</w:t>
            </w:r>
          </w:p>
        </w:tc>
      </w:tr>
      <w:tr w:rsidR="006D15D2"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6D15D2" w:rsidRPr="005F2871" w:rsidRDefault="005F2871">
            <w:pPr>
              <w:rPr>
                <w:rFonts w:ascii="Arial" w:hAnsi="Arial" w:cs="Arial"/>
                <w:b w:val="0"/>
                <w:sz w:val="24"/>
                <w:szCs w:val="24"/>
              </w:rPr>
            </w:pPr>
            <w:r w:rsidRPr="005F2871">
              <w:rPr>
                <w:rFonts w:ascii="Arial" w:hAnsi="Arial" w:cs="Arial"/>
                <w:b w:val="0"/>
                <w:sz w:val="24"/>
                <w:szCs w:val="24"/>
              </w:rPr>
              <w:t>Good understanding of the CCGs’ statutory duties in relation to patient and public involvement</w:t>
            </w:r>
            <w:r>
              <w:rPr>
                <w:rFonts w:ascii="Arial" w:hAnsi="Arial" w:cs="Arial"/>
                <w:b w:val="0"/>
                <w:sz w:val="24"/>
                <w:szCs w:val="24"/>
              </w:rPr>
              <w:t>, and the ability to advise others on these</w:t>
            </w:r>
          </w:p>
        </w:tc>
      </w:tr>
      <w:tr w:rsidR="006D15D2"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5F2871" w:rsidRPr="005F2871" w:rsidRDefault="005F2871">
            <w:pPr>
              <w:rPr>
                <w:rFonts w:ascii="Arial" w:hAnsi="Arial" w:cs="Arial"/>
                <w:b w:val="0"/>
                <w:sz w:val="24"/>
                <w:szCs w:val="24"/>
              </w:rPr>
            </w:pPr>
            <w:r w:rsidRPr="005F2871">
              <w:rPr>
                <w:rFonts w:ascii="Arial" w:hAnsi="Arial" w:cs="Arial"/>
                <w:b w:val="0"/>
                <w:sz w:val="24"/>
                <w:szCs w:val="24"/>
              </w:rPr>
              <w:t>Awareness and understanding of the challenges facing health and care systems and how patient and public engagement can contribute to addressing these</w:t>
            </w:r>
          </w:p>
        </w:tc>
      </w:tr>
      <w:tr w:rsidR="006D15D2"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6D15D2" w:rsidRPr="005F2871" w:rsidRDefault="005F2871">
            <w:pPr>
              <w:rPr>
                <w:rFonts w:ascii="Arial" w:hAnsi="Arial" w:cs="Arial"/>
                <w:b w:val="0"/>
                <w:sz w:val="24"/>
                <w:szCs w:val="24"/>
              </w:rPr>
            </w:pPr>
            <w:r w:rsidRPr="005F2871">
              <w:rPr>
                <w:rFonts w:ascii="Arial" w:hAnsi="Arial" w:cs="Arial"/>
                <w:b w:val="0"/>
                <w:sz w:val="24"/>
                <w:szCs w:val="24"/>
              </w:rPr>
              <w:t>Good understanding of the principles of effective patient and public engagement and their practical application</w:t>
            </w:r>
          </w:p>
        </w:tc>
      </w:tr>
      <w:tr w:rsidR="005F2871"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5F2871" w:rsidRPr="005F2871" w:rsidRDefault="005F2871">
            <w:pPr>
              <w:rPr>
                <w:rFonts w:ascii="Arial" w:hAnsi="Arial" w:cs="Arial"/>
                <w:b w:val="0"/>
                <w:sz w:val="24"/>
                <w:szCs w:val="24"/>
              </w:rPr>
            </w:pPr>
            <w:r>
              <w:rPr>
                <w:rFonts w:ascii="Arial" w:hAnsi="Arial" w:cs="Arial"/>
                <w:b w:val="0"/>
                <w:sz w:val="24"/>
                <w:szCs w:val="24"/>
              </w:rPr>
              <w:t>Understanding of a wide range of engagement approaches, tools and techniques and their practical application</w:t>
            </w:r>
          </w:p>
        </w:tc>
      </w:tr>
      <w:tr w:rsidR="006D15D2"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6D15D2" w:rsidRPr="005F2871" w:rsidRDefault="005F2871">
            <w:pPr>
              <w:rPr>
                <w:rFonts w:ascii="Arial" w:hAnsi="Arial" w:cs="Arial"/>
                <w:b w:val="0"/>
                <w:sz w:val="24"/>
                <w:szCs w:val="24"/>
              </w:rPr>
            </w:pPr>
            <w:r w:rsidRPr="005F2871">
              <w:rPr>
                <w:rFonts w:ascii="Arial" w:hAnsi="Arial" w:cs="Arial"/>
                <w:b w:val="0"/>
                <w:sz w:val="24"/>
                <w:szCs w:val="24"/>
              </w:rPr>
              <w:t>Awareness of current trends in patient and public involvement and how these relate to the development and transformation of health and care systems</w:t>
            </w:r>
          </w:p>
        </w:tc>
      </w:tr>
      <w:tr w:rsidR="006D15D2"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6D15D2" w:rsidRPr="005F2871" w:rsidRDefault="005F2871" w:rsidP="005F2871">
            <w:pPr>
              <w:rPr>
                <w:rFonts w:ascii="Arial" w:hAnsi="Arial" w:cs="Arial"/>
                <w:b w:val="0"/>
                <w:sz w:val="24"/>
                <w:szCs w:val="24"/>
              </w:rPr>
            </w:pPr>
            <w:r w:rsidRPr="005F2871">
              <w:rPr>
                <w:rFonts w:ascii="Arial" w:hAnsi="Arial" w:cs="Arial"/>
                <w:b w:val="0"/>
                <w:sz w:val="24"/>
                <w:szCs w:val="24"/>
              </w:rPr>
              <w:t>Understanding of the Equality Act 2010 and how this relates to patient and public involvement</w:t>
            </w:r>
          </w:p>
        </w:tc>
      </w:tr>
      <w:tr w:rsidR="00812B59"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Experience</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812B59" w:rsidRPr="006F545A" w:rsidRDefault="005F2871">
            <w:pPr>
              <w:rPr>
                <w:rFonts w:ascii="Arial" w:eastAsia="Times New Roman" w:hAnsi="Arial" w:cs="Arial"/>
                <w:b w:val="0"/>
                <w:sz w:val="24"/>
                <w:szCs w:val="24"/>
              </w:rPr>
            </w:pPr>
            <w:r>
              <w:rPr>
                <w:rFonts w:ascii="Arial" w:eastAsia="Times New Roman" w:hAnsi="Arial" w:cs="Arial"/>
                <w:b w:val="0"/>
                <w:sz w:val="24"/>
                <w:szCs w:val="24"/>
              </w:rPr>
              <w:t>Experience in managing patient and public involvement activities, including the management of volunteer/community/patient groups</w:t>
            </w:r>
          </w:p>
        </w:tc>
      </w:tr>
      <w:tr w:rsidR="005F2871"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5F2871" w:rsidRPr="005F2871" w:rsidRDefault="005F2871">
            <w:pPr>
              <w:rPr>
                <w:rFonts w:ascii="Arial" w:eastAsia="Times New Roman" w:hAnsi="Arial" w:cs="Arial"/>
                <w:b w:val="0"/>
                <w:sz w:val="24"/>
                <w:szCs w:val="24"/>
              </w:rPr>
            </w:pPr>
            <w:r w:rsidRPr="005F2871">
              <w:rPr>
                <w:rFonts w:ascii="Arial" w:eastAsia="Times New Roman" w:hAnsi="Arial" w:cs="Arial"/>
                <w:b w:val="0"/>
                <w:sz w:val="24"/>
                <w:szCs w:val="24"/>
              </w:rPr>
              <w:t>Experience developing and maintaining relevant processes and systems to support the delivery of engagement</w:t>
            </w:r>
          </w:p>
        </w:tc>
      </w:tr>
      <w:tr w:rsidR="005F2871"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5F2871" w:rsidRPr="005F2871" w:rsidRDefault="005F2871">
            <w:pPr>
              <w:rPr>
                <w:rFonts w:ascii="Arial" w:eastAsia="Times New Roman" w:hAnsi="Arial" w:cs="Arial"/>
                <w:b w:val="0"/>
                <w:sz w:val="24"/>
                <w:szCs w:val="24"/>
              </w:rPr>
            </w:pPr>
            <w:r w:rsidRPr="005F2871">
              <w:rPr>
                <w:rFonts w:ascii="Arial" w:eastAsia="Times New Roman" w:hAnsi="Arial" w:cs="Arial"/>
                <w:b w:val="0"/>
                <w:sz w:val="24"/>
                <w:szCs w:val="24"/>
              </w:rPr>
              <w:t xml:space="preserve">Experience of delivering engagement, including experience using a wide range of engagement tools, techniques and approaches </w:t>
            </w:r>
          </w:p>
        </w:tc>
      </w:tr>
      <w:tr w:rsidR="005F2871"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5F2871" w:rsidRPr="005F2871" w:rsidRDefault="005F2871">
            <w:pPr>
              <w:rPr>
                <w:rFonts w:ascii="Arial" w:eastAsia="Times New Roman" w:hAnsi="Arial" w:cs="Arial"/>
                <w:b w:val="0"/>
                <w:sz w:val="24"/>
                <w:szCs w:val="24"/>
              </w:rPr>
            </w:pPr>
            <w:r w:rsidRPr="005F2871">
              <w:rPr>
                <w:rFonts w:ascii="Arial" w:eastAsia="Times New Roman" w:hAnsi="Arial" w:cs="Arial"/>
                <w:b w:val="0"/>
                <w:sz w:val="24"/>
                <w:szCs w:val="24"/>
              </w:rPr>
              <w:t>Experience in developing and implementing patient and public involvement plans</w:t>
            </w:r>
          </w:p>
        </w:tc>
      </w:tr>
      <w:tr w:rsidR="005F2871"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5F2871" w:rsidRPr="005D3F69" w:rsidRDefault="005D3F69">
            <w:pPr>
              <w:rPr>
                <w:rFonts w:ascii="Arial" w:eastAsia="Times New Roman" w:hAnsi="Arial" w:cs="Arial"/>
                <w:b w:val="0"/>
                <w:sz w:val="24"/>
                <w:szCs w:val="24"/>
              </w:rPr>
            </w:pPr>
            <w:r>
              <w:rPr>
                <w:rFonts w:ascii="Arial" w:eastAsia="Times New Roman" w:hAnsi="Arial" w:cs="Arial"/>
                <w:b w:val="0"/>
                <w:sz w:val="24"/>
                <w:szCs w:val="24"/>
              </w:rPr>
              <w:t>Experience managing others, both directly and indirectly i.e. through project management and/or stakeholder management</w:t>
            </w:r>
          </w:p>
        </w:tc>
      </w:tr>
      <w:tr w:rsidR="006F545A"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6F545A" w:rsidRPr="006F545A" w:rsidRDefault="006F545A" w:rsidP="00D76318">
            <w:pPr>
              <w:rPr>
                <w:rFonts w:ascii="Arial" w:eastAsia="Times New Roman" w:hAnsi="Arial" w:cs="Arial"/>
                <w:b w:val="0"/>
                <w:sz w:val="24"/>
                <w:szCs w:val="24"/>
              </w:rPr>
            </w:pPr>
            <w:r w:rsidRPr="006F545A">
              <w:rPr>
                <w:rFonts w:ascii="Arial" w:eastAsia="Times New Roman" w:hAnsi="Arial" w:cs="Arial"/>
                <w:b w:val="0"/>
                <w:sz w:val="24"/>
                <w:szCs w:val="24"/>
              </w:rPr>
              <w:t xml:space="preserve">Experience of creating and </w:t>
            </w:r>
            <w:r w:rsidR="00D76318">
              <w:rPr>
                <w:rFonts w:ascii="Arial" w:eastAsia="Times New Roman" w:hAnsi="Arial" w:cs="Arial"/>
                <w:b w:val="0"/>
                <w:sz w:val="24"/>
                <w:szCs w:val="24"/>
              </w:rPr>
              <w:t>delivering presentations to a wide variety of</w:t>
            </w:r>
            <w:r w:rsidRPr="006F545A">
              <w:rPr>
                <w:rFonts w:ascii="Arial" w:eastAsia="Times New Roman" w:hAnsi="Arial" w:cs="Arial"/>
                <w:b w:val="0"/>
                <w:sz w:val="24"/>
                <w:szCs w:val="24"/>
              </w:rPr>
              <w:t xml:space="preserve"> internal and external stakeholders</w:t>
            </w:r>
          </w:p>
        </w:tc>
      </w:tr>
      <w:tr w:rsidR="00853CDF"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853CDF" w:rsidRPr="006F545A" w:rsidRDefault="00853CDF" w:rsidP="00853CDF">
            <w:pPr>
              <w:rPr>
                <w:rFonts w:ascii="Arial" w:eastAsia="Times New Roman" w:hAnsi="Arial" w:cs="Arial"/>
                <w:b w:val="0"/>
                <w:sz w:val="24"/>
                <w:szCs w:val="24"/>
              </w:rPr>
            </w:pPr>
            <w:r w:rsidRPr="00853CDF">
              <w:rPr>
                <w:rFonts w:ascii="Arial" w:eastAsia="Times New Roman" w:hAnsi="Arial" w:cs="Arial"/>
                <w:b w:val="0"/>
                <w:sz w:val="24"/>
                <w:szCs w:val="24"/>
              </w:rPr>
              <w:t>Demonstrated capabilities to manage own workload and make informed decisions in the absence of required information, working to tight and often changing timescales</w:t>
            </w:r>
            <w:r w:rsidRPr="00FC4DD1">
              <w:rPr>
                <w:rFonts w:ascii="Arial" w:eastAsia="Times New Roman" w:hAnsi="Arial" w:cs="Arial"/>
                <w:sz w:val="24"/>
                <w:szCs w:val="24"/>
                <w:lang w:val="en-US"/>
              </w:rPr>
              <w:t xml:space="preserve"> </w:t>
            </w:r>
          </w:p>
        </w:tc>
      </w:tr>
      <w:tr w:rsidR="00CC4C95"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CC4C95" w:rsidRPr="00CC4C95" w:rsidRDefault="00CC4C95" w:rsidP="00853CDF">
            <w:pPr>
              <w:rPr>
                <w:rFonts w:ascii="Arial" w:eastAsia="Times New Roman" w:hAnsi="Arial" w:cs="Arial"/>
                <w:b w:val="0"/>
                <w:sz w:val="24"/>
                <w:szCs w:val="24"/>
              </w:rPr>
            </w:pPr>
            <w:r w:rsidRPr="00CC4C95">
              <w:rPr>
                <w:rFonts w:ascii="Arial" w:eastAsia="Times New Roman" w:hAnsi="Arial" w:cs="Arial"/>
                <w:b w:val="0"/>
                <w:sz w:val="24"/>
                <w:szCs w:val="24"/>
              </w:rPr>
              <w:t>Significant experience of successfully operating in a politically sensitive environment</w:t>
            </w:r>
          </w:p>
        </w:tc>
      </w:tr>
      <w:tr w:rsidR="00CC4C95"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CC4C95" w:rsidRPr="006F545A" w:rsidRDefault="00CC4C95" w:rsidP="00A4132E">
            <w:pPr>
              <w:rPr>
                <w:rFonts w:ascii="Arial" w:eastAsia="Times New Roman" w:hAnsi="Arial" w:cs="Arial"/>
                <w:b w:val="0"/>
                <w:sz w:val="24"/>
                <w:szCs w:val="24"/>
              </w:rPr>
            </w:pPr>
            <w:r w:rsidRPr="006F545A">
              <w:rPr>
                <w:rFonts w:ascii="Arial" w:eastAsia="Times New Roman" w:hAnsi="Arial" w:cs="Arial"/>
                <w:b w:val="0"/>
                <w:sz w:val="24"/>
                <w:szCs w:val="24"/>
              </w:rPr>
              <w:t>Und</w:t>
            </w:r>
            <w:r>
              <w:rPr>
                <w:rFonts w:ascii="Arial" w:eastAsia="Times New Roman" w:hAnsi="Arial" w:cs="Arial"/>
                <w:b w:val="0"/>
                <w:sz w:val="24"/>
                <w:szCs w:val="24"/>
              </w:rPr>
              <w:t>erstanding of the public sector</w:t>
            </w:r>
          </w:p>
        </w:tc>
      </w:tr>
      <w:tr w:rsidR="00CC4C95"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CC4C95" w:rsidRPr="006F545A" w:rsidRDefault="00CC4C95" w:rsidP="00A4132E">
            <w:pPr>
              <w:rPr>
                <w:rFonts w:ascii="Arial" w:eastAsia="Times New Roman" w:hAnsi="Arial" w:cs="Arial"/>
                <w:b w:val="0"/>
                <w:sz w:val="24"/>
                <w:szCs w:val="24"/>
              </w:rPr>
            </w:pPr>
            <w:r w:rsidRPr="006F545A">
              <w:rPr>
                <w:rFonts w:ascii="Arial" w:eastAsia="Times New Roman" w:hAnsi="Arial" w:cs="Arial"/>
                <w:b w:val="0"/>
                <w:sz w:val="24"/>
                <w:szCs w:val="24"/>
              </w:rPr>
              <w:t>Demonstrated experien</w:t>
            </w:r>
            <w:r>
              <w:rPr>
                <w:rFonts w:ascii="Arial" w:eastAsia="Times New Roman" w:hAnsi="Arial" w:cs="Arial"/>
                <w:b w:val="0"/>
                <w:sz w:val="24"/>
                <w:szCs w:val="24"/>
              </w:rPr>
              <w:t>ce  in a Healthcare environment</w:t>
            </w:r>
          </w:p>
        </w:tc>
      </w:tr>
      <w:tr w:rsidR="00CC4C95" w:rsidRPr="007E30E8" w:rsidTr="00E60A85">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CC4C95" w:rsidRPr="007E30E8" w:rsidRDefault="00CC4C95">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Qualifications</w:t>
            </w:r>
          </w:p>
        </w:tc>
      </w:tr>
      <w:tr w:rsidR="00CC4C95"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6" w:space="0" w:color="4472C4" w:themeColor="accent1"/>
              <w:right w:val="single" w:sz="6" w:space="0" w:color="4472C4" w:themeColor="accent1"/>
            </w:tcBorders>
            <w:shd w:val="clear" w:color="auto" w:fill="auto"/>
          </w:tcPr>
          <w:p w:rsidR="00CC4C95" w:rsidRPr="006F545A" w:rsidRDefault="00CC4C95" w:rsidP="006F545A">
            <w:pPr>
              <w:autoSpaceDE w:val="0"/>
              <w:autoSpaceDN w:val="0"/>
              <w:adjustRightInd w:val="0"/>
              <w:rPr>
                <w:rFonts w:ascii="Arial" w:eastAsia="Times New Roman" w:hAnsi="Arial" w:cs="Arial"/>
                <w:b w:val="0"/>
                <w:sz w:val="24"/>
                <w:szCs w:val="24"/>
                <w:lang w:val="en-US"/>
              </w:rPr>
            </w:pPr>
            <w:r w:rsidRPr="006F545A">
              <w:rPr>
                <w:rFonts w:ascii="Arial" w:eastAsia="Times New Roman" w:hAnsi="Arial" w:cs="Arial"/>
                <w:b w:val="0"/>
                <w:sz w:val="24"/>
                <w:szCs w:val="24"/>
                <w:lang w:val="en-US"/>
              </w:rPr>
              <w:t>Educated to degree level in relevant subject or equivalent level qualification or significant experience of working at a similar level in specialist area</w:t>
            </w:r>
          </w:p>
        </w:tc>
      </w:tr>
      <w:tr w:rsidR="00A00434"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6" w:space="0" w:color="4472C4" w:themeColor="accent1"/>
              <w:right w:val="single" w:sz="6" w:space="0" w:color="4472C4" w:themeColor="accent1"/>
            </w:tcBorders>
            <w:shd w:val="clear" w:color="auto" w:fill="auto"/>
          </w:tcPr>
          <w:p w:rsidR="00A00434" w:rsidRPr="00A00434" w:rsidRDefault="00A00434" w:rsidP="006F545A">
            <w:pPr>
              <w:autoSpaceDE w:val="0"/>
              <w:autoSpaceDN w:val="0"/>
              <w:adjustRightInd w:val="0"/>
              <w:rPr>
                <w:rFonts w:ascii="Arial" w:eastAsia="Times New Roman" w:hAnsi="Arial" w:cs="Arial"/>
                <w:b w:val="0"/>
                <w:sz w:val="24"/>
                <w:szCs w:val="24"/>
                <w:lang w:val="en-US"/>
              </w:rPr>
            </w:pPr>
            <w:r w:rsidRPr="00A00434">
              <w:rPr>
                <w:rFonts w:ascii="Arial" w:eastAsia="Times New Roman" w:hAnsi="Arial" w:cs="Arial"/>
                <w:b w:val="0"/>
                <w:sz w:val="24"/>
                <w:szCs w:val="24"/>
                <w:lang w:val="en-US"/>
              </w:rPr>
              <w:lastRenderedPageBreak/>
              <w:t>Post-graduate degree in Management Studies or equivalent, or significant experience of working at a similar level in a specialist area</w:t>
            </w:r>
          </w:p>
        </w:tc>
      </w:tr>
      <w:tr w:rsidR="00CC4C95" w:rsidRPr="00102861"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rsidR="00CC4C95" w:rsidRPr="006F545A" w:rsidRDefault="00CC4C95">
            <w:pPr>
              <w:rPr>
                <w:rFonts w:ascii="Arial" w:eastAsia="Times New Roman" w:hAnsi="Arial" w:cs="Arial"/>
                <w:b w:val="0"/>
                <w:sz w:val="24"/>
                <w:szCs w:val="24"/>
              </w:rPr>
            </w:pPr>
            <w:r w:rsidRPr="006F545A">
              <w:rPr>
                <w:rFonts w:ascii="Arial" w:eastAsia="Times New Roman" w:hAnsi="Arial" w:cs="Arial"/>
                <w:b w:val="0"/>
                <w:sz w:val="24"/>
                <w:szCs w:val="24"/>
              </w:rPr>
              <w:t>Evidence of continued professional development</w:t>
            </w:r>
          </w:p>
        </w:tc>
      </w:tr>
    </w:tbl>
    <w:p w:rsidR="002D6216" w:rsidRPr="00102861" w:rsidRDefault="002D6216" w:rsidP="002D6216">
      <w:pPr>
        <w:rPr>
          <w:rFonts w:cs="Arial"/>
          <w:sz w:val="24"/>
          <w:szCs w:val="24"/>
        </w:rPr>
      </w:pPr>
    </w:p>
    <w:tbl>
      <w:tblPr>
        <w:tblStyle w:val="TableGrid"/>
        <w:tblpPr w:leftFromText="180" w:rightFromText="180" w:vertAnchor="page" w:horzAnchor="margin" w:tblpY="9076"/>
        <w:tblOverlap w:val="never"/>
        <w:tblW w:w="10456" w:type="dxa"/>
        <w:tblInd w:w="0" w:type="dxa"/>
        <w:tblLayout w:type="fixed"/>
        <w:tblLook w:val="04A0" w:firstRow="1" w:lastRow="0" w:firstColumn="1" w:lastColumn="0" w:noHBand="0" w:noVBand="1"/>
      </w:tblPr>
      <w:tblGrid>
        <w:gridCol w:w="10456"/>
      </w:tblGrid>
      <w:tr w:rsidR="00853CDF" w:rsidRPr="00102861" w:rsidTr="00853CDF">
        <w:tc>
          <w:tcPr>
            <w:tcW w:w="1045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53CDF" w:rsidRPr="001D2200" w:rsidRDefault="00853CDF" w:rsidP="00853CDF">
            <w:pPr>
              <w:spacing w:after="200" w:line="276" w:lineRule="auto"/>
              <w:rPr>
                <w:rFonts w:ascii="Arial" w:hAnsi="Arial" w:cs="Arial"/>
                <w:b/>
                <w:sz w:val="24"/>
                <w:szCs w:val="24"/>
              </w:rPr>
            </w:pPr>
            <w:r w:rsidRPr="001D2200">
              <w:rPr>
                <w:rFonts w:ascii="Arial" w:hAnsi="Arial" w:cs="Arial"/>
                <w:b/>
                <w:sz w:val="24"/>
                <w:szCs w:val="24"/>
              </w:rPr>
              <w:t>Miscellaneous</w:t>
            </w:r>
          </w:p>
          <w:p w:rsidR="00853CDF" w:rsidRPr="001D2200" w:rsidRDefault="00853CDF" w:rsidP="00853CDF">
            <w:pPr>
              <w:numPr>
                <w:ilvl w:val="0"/>
                <w:numId w:val="2"/>
              </w:numPr>
              <w:spacing w:after="200" w:line="276" w:lineRule="auto"/>
              <w:rPr>
                <w:rFonts w:ascii="Arial" w:hAnsi="Arial" w:cs="Arial"/>
                <w:sz w:val="24"/>
                <w:szCs w:val="24"/>
              </w:rPr>
            </w:pPr>
            <w:r w:rsidRPr="001D2200">
              <w:rPr>
                <w:rFonts w:ascii="Arial" w:hAnsi="Arial" w:cs="Arial"/>
                <w:sz w:val="24"/>
                <w:szCs w:val="24"/>
              </w:rPr>
              <w:t>This is not an exhaustive list of duties; staff are therefore required to undertake any other duties commensurate with the grade and in line with the requirement of this post.</w:t>
            </w:r>
          </w:p>
          <w:p w:rsidR="00853CDF" w:rsidRPr="001D2200" w:rsidRDefault="00853CDF" w:rsidP="00853CDF">
            <w:pPr>
              <w:numPr>
                <w:ilvl w:val="0"/>
                <w:numId w:val="2"/>
              </w:numPr>
              <w:spacing w:after="200" w:line="276" w:lineRule="auto"/>
              <w:rPr>
                <w:rFonts w:ascii="Arial" w:hAnsi="Arial" w:cs="Arial"/>
                <w:sz w:val="24"/>
                <w:szCs w:val="24"/>
              </w:rPr>
            </w:pPr>
            <w:r w:rsidRPr="001D2200">
              <w:rPr>
                <w:rFonts w:ascii="Arial" w:hAnsi="Arial" w:cs="Arial"/>
                <w:sz w:val="24"/>
                <w:szCs w:val="24"/>
              </w:rPr>
              <w:t>Confidential information may</w:t>
            </w:r>
            <w:r w:rsidR="00B3580C">
              <w:rPr>
                <w:rFonts w:ascii="Arial" w:hAnsi="Arial" w:cs="Arial"/>
                <w:sz w:val="24"/>
                <w:szCs w:val="24"/>
              </w:rPr>
              <w:t xml:space="preserve"> be accessed at times and all </w:t>
            </w:r>
            <w:r w:rsidRPr="001D2200">
              <w:rPr>
                <w:rFonts w:ascii="Arial" w:hAnsi="Arial" w:cs="Arial"/>
                <w:sz w:val="24"/>
                <w:szCs w:val="24"/>
              </w:rPr>
              <w:t>staff must ensure that the highest level of confidentiality is maintained at all times.</w:t>
            </w:r>
          </w:p>
          <w:p w:rsidR="00853CDF" w:rsidRPr="001D2200" w:rsidRDefault="00B3580C" w:rsidP="00853CDF">
            <w:pPr>
              <w:numPr>
                <w:ilvl w:val="0"/>
                <w:numId w:val="2"/>
              </w:numPr>
              <w:spacing w:after="200" w:line="276" w:lineRule="auto"/>
              <w:rPr>
                <w:rFonts w:ascii="Arial" w:hAnsi="Arial" w:cs="Arial"/>
                <w:sz w:val="24"/>
                <w:szCs w:val="24"/>
              </w:rPr>
            </w:pPr>
            <w:r>
              <w:rPr>
                <w:rFonts w:ascii="Arial" w:hAnsi="Arial" w:cs="Arial"/>
                <w:sz w:val="24"/>
                <w:szCs w:val="24"/>
              </w:rPr>
              <w:t>All</w:t>
            </w:r>
            <w:r w:rsidR="00853CDF" w:rsidRPr="001D2200">
              <w:rPr>
                <w:rFonts w:ascii="Arial" w:hAnsi="Arial" w:cs="Arial"/>
                <w:sz w:val="24"/>
                <w:szCs w:val="24"/>
              </w:rPr>
              <w:t xml:space="preserve"> staff must comply with the Staff Code of Conduct. Senior Managers must also comply with the NHS Code of Conduct for Managers, based on the Nolan principles of public accountability.</w:t>
            </w:r>
          </w:p>
          <w:p w:rsidR="00853CDF" w:rsidRPr="001D2200" w:rsidRDefault="00853CDF" w:rsidP="00853CDF">
            <w:pPr>
              <w:numPr>
                <w:ilvl w:val="0"/>
                <w:numId w:val="2"/>
              </w:numPr>
              <w:spacing w:after="200" w:line="276" w:lineRule="auto"/>
              <w:rPr>
                <w:rFonts w:ascii="Arial" w:hAnsi="Arial" w:cs="Arial"/>
                <w:sz w:val="24"/>
                <w:szCs w:val="24"/>
              </w:rPr>
            </w:pPr>
            <w:r w:rsidRPr="001D2200">
              <w:rPr>
                <w:rFonts w:ascii="Arial" w:hAnsi="Arial" w:cs="Arial"/>
                <w:sz w:val="24"/>
                <w:szCs w:val="24"/>
              </w:rPr>
              <w:t>Membership of a professional body in order to practice (e.g. NMC registration for nursing staff) is a requirement of some roles, for those staff it is a condition precedent of employment to maintain membership of such a professional body.  Individuals are also responsible for complying with the relevant professional body’s code of practice.</w:t>
            </w:r>
          </w:p>
          <w:p w:rsidR="00853CDF" w:rsidRPr="001D2200" w:rsidRDefault="00853CDF" w:rsidP="00853CDF">
            <w:pPr>
              <w:numPr>
                <w:ilvl w:val="0"/>
                <w:numId w:val="2"/>
              </w:numPr>
              <w:rPr>
                <w:rFonts w:ascii="Arial" w:hAnsi="Arial" w:cs="Arial"/>
                <w:sz w:val="24"/>
                <w:szCs w:val="24"/>
              </w:rPr>
            </w:pPr>
            <w:r w:rsidRPr="001D2200">
              <w:rPr>
                <w:rFonts w:ascii="Arial" w:hAnsi="Arial" w:cs="Arial"/>
                <w:sz w:val="24"/>
                <w:szCs w:val="24"/>
              </w:rPr>
              <w:t>This job description may be subject to change.</w:t>
            </w:r>
          </w:p>
          <w:p w:rsidR="00853CDF" w:rsidRPr="00102861" w:rsidRDefault="00853CDF" w:rsidP="00853CDF">
            <w:pPr>
              <w:rPr>
                <w:rFonts w:cstheme="minorHAnsi"/>
                <w:sz w:val="24"/>
                <w:szCs w:val="24"/>
              </w:rPr>
            </w:pPr>
          </w:p>
          <w:p w:rsidR="00853CDF" w:rsidRPr="00102861" w:rsidRDefault="00853CDF" w:rsidP="00853CDF">
            <w:pPr>
              <w:rPr>
                <w:rFonts w:cstheme="minorHAnsi"/>
                <w:sz w:val="24"/>
                <w:szCs w:val="24"/>
              </w:rPr>
            </w:pPr>
          </w:p>
        </w:tc>
      </w:tr>
    </w:tbl>
    <w:p w:rsidR="00812B59" w:rsidRPr="00102861" w:rsidRDefault="00812B59">
      <w:pPr>
        <w:rPr>
          <w:sz w:val="24"/>
          <w:szCs w:val="24"/>
        </w:rPr>
      </w:pPr>
    </w:p>
    <w:sectPr w:rsidR="00812B59" w:rsidRPr="00102861" w:rsidSect="006666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C8" w:rsidRDefault="001C66C8" w:rsidP="00812B59">
      <w:pPr>
        <w:spacing w:after="0" w:line="240" w:lineRule="auto"/>
      </w:pPr>
      <w:r>
        <w:separator/>
      </w:r>
    </w:p>
  </w:endnote>
  <w:endnote w:type="continuationSeparator" w:id="0">
    <w:p w:rsidR="001C66C8" w:rsidRDefault="001C66C8" w:rsidP="0081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C8" w:rsidRDefault="001C66C8" w:rsidP="00812B59">
      <w:pPr>
        <w:spacing w:after="0" w:line="240" w:lineRule="auto"/>
      </w:pPr>
      <w:r>
        <w:separator/>
      </w:r>
    </w:p>
  </w:footnote>
  <w:footnote w:type="continuationSeparator" w:id="0">
    <w:p w:rsidR="001C66C8" w:rsidRDefault="001C66C8" w:rsidP="0081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9B"/>
    <w:multiLevelType w:val="multilevel"/>
    <w:tmpl w:val="9C9442F4"/>
    <w:lvl w:ilvl="0">
      <w:start w:val="1"/>
      <w:numFmt w:val="decimal"/>
      <w:lvlText w:val="%1."/>
      <w:lvlJc w:val="left"/>
      <w:pPr>
        <w:ind w:left="540" w:hanging="540"/>
      </w:p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089E3A9E"/>
    <w:multiLevelType w:val="hybridMultilevel"/>
    <w:tmpl w:val="D526BF0A"/>
    <w:lvl w:ilvl="0" w:tplc="BC48B38E">
      <w:numFmt w:val="bullet"/>
      <w:lvlText w:val="•"/>
      <w:lvlJc w:val="left"/>
      <w:pPr>
        <w:ind w:left="796" w:hanging="72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08A858BD"/>
    <w:multiLevelType w:val="hybridMultilevel"/>
    <w:tmpl w:val="486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50709"/>
    <w:multiLevelType w:val="hybridMultilevel"/>
    <w:tmpl w:val="17B4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96E3D"/>
    <w:multiLevelType w:val="hybridMultilevel"/>
    <w:tmpl w:val="CFD4A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194ED8"/>
    <w:multiLevelType w:val="hybridMultilevel"/>
    <w:tmpl w:val="063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048DC"/>
    <w:multiLevelType w:val="hybridMultilevel"/>
    <w:tmpl w:val="D1B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315B7"/>
    <w:multiLevelType w:val="hybridMultilevel"/>
    <w:tmpl w:val="A8D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D3702"/>
    <w:multiLevelType w:val="hybridMultilevel"/>
    <w:tmpl w:val="B1EA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65EE3"/>
    <w:multiLevelType w:val="hybridMultilevel"/>
    <w:tmpl w:val="D076C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B2E6847"/>
    <w:multiLevelType w:val="multilevel"/>
    <w:tmpl w:val="867A9B36"/>
    <w:lvl w:ilvl="0">
      <w:start w:val="1"/>
      <w:numFmt w:val="bullet"/>
      <w:lvlText w:val=""/>
      <w:lvlJc w:val="left"/>
      <w:pPr>
        <w:ind w:left="4765" w:hanging="360"/>
      </w:pPr>
      <w:rPr>
        <w:rFonts w:ascii="Symbol" w:hAnsi="Symbol" w:hint="default"/>
        <w:b w:val="0"/>
        <w:color w:val="auto"/>
      </w:rPr>
    </w:lvl>
    <w:lvl w:ilvl="1">
      <w:start w:val="1"/>
      <w:numFmt w:val="decimal"/>
      <w:lvlText w:val="%2."/>
      <w:lvlJc w:val="left"/>
      <w:pPr>
        <w:ind w:left="5495" w:hanging="360"/>
      </w:pPr>
    </w:lvl>
    <w:lvl w:ilvl="2">
      <w:start w:val="1"/>
      <w:numFmt w:val="decimal"/>
      <w:lvlText w:val="%1.%2.%3"/>
      <w:lvlJc w:val="left"/>
      <w:pPr>
        <w:ind w:left="6575" w:hanging="720"/>
      </w:pPr>
    </w:lvl>
    <w:lvl w:ilvl="3">
      <w:start w:val="1"/>
      <w:numFmt w:val="decimal"/>
      <w:lvlText w:val="%1.%2.%3.%4"/>
      <w:lvlJc w:val="left"/>
      <w:pPr>
        <w:ind w:left="7295" w:hanging="720"/>
      </w:pPr>
    </w:lvl>
    <w:lvl w:ilvl="4">
      <w:start w:val="1"/>
      <w:numFmt w:val="decimal"/>
      <w:lvlText w:val="%1.%2.%3.%4.%5"/>
      <w:lvlJc w:val="left"/>
      <w:pPr>
        <w:ind w:left="8375" w:hanging="1080"/>
      </w:pPr>
    </w:lvl>
    <w:lvl w:ilvl="5">
      <w:start w:val="1"/>
      <w:numFmt w:val="decimal"/>
      <w:lvlText w:val="%1.%2.%3.%4.%5.%6"/>
      <w:lvlJc w:val="left"/>
      <w:pPr>
        <w:ind w:left="9095" w:hanging="1080"/>
      </w:pPr>
    </w:lvl>
    <w:lvl w:ilvl="6">
      <w:start w:val="1"/>
      <w:numFmt w:val="decimal"/>
      <w:lvlText w:val="%1.%2.%3.%4.%5.%6.%7"/>
      <w:lvlJc w:val="left"/>
      <w:pPr>
        <w:ind w:left="10175" w:hanging="1440"/>
      </w:pPr>
    </w:lvl>
    <w:lvl w:ilvl="7">
      <w:start w:val="1"/>
      <w:numFmt w:val="decimal"/>
      <w:lvlText w:val="%1.%2.%3.%4.%5.%6.%7.%8"/>
      <w:lvlJc w:val="left"/>
      <w:pPr>
        <w:ind w:left="10895" w:hanging="1440"/>
      </w:pPr>
    </w:lvl>
    <w:lvl w:ilvl="8">
      <w:start w:val="1"/>
      <w:numFmt w:val="decimal"/>
      <w:lvlText w:val="%1.%2.%3.%4.%5.%6.%7.%8.%9"/>
      <w:lvlJc w:val="left"/>
      <w:pPr>
        <w:ind w:left="11975" w:hanging="1800"/>
      </w:pPr>
    </w:lvl>
  </w:abstractNum>
  <w:abstractNum w:abstractNumId="11">
    <w:nsid w:val="1D2E2219"/>
    <w:multiLevelType w:val="hybridMultilevel"/>
    <w:tmpl w:val="B5E24CF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26B944BC"/>
    <w:multiLevelType w:val="hybridMultilevel"/>
    <w:tmpl w:val="3296EE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5817BE"/>
    <w:multiLevelType w:val="hybridMultilevel"/>
    <w:tmpl w:val="1F4E5926"/>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14">
    <w:nsid w:val="2D9D1996"/>
    <w:multiLevelType w:val="hybridMultilevel"/>
    <w:tmpl w:val="6CA0D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F23E11"/>
    <w:multiLevelType w:val="hybridMultilevel"/>
    <w:tmpl w:val="A2E24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2CB49C4"/>
    <w:multiLevelType w:val="hybridMultilevel"/>
    <w:tmpl w:val="04360E98"/>
    <w:lvl w:ilvl="0" w:tplc="33FCC8B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42CEC"/>
    <w:multiLevelType w:val="hybridMultilevel"/>
    <w:tmpl w:val="1CB0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915F4D"/>
    <w:multiLevelType w:val="hybridMultilevel"/>
    <w:tmpl w:val="B768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A37CEC"/>
    <w:multiLevelType w:val="hybridMultilevel"/>
    <w:tmpl w:val="5EB6DF78"/>
    <w:lvl w:ilvl="0" w:tplc="ACB669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307EE3"/>
    <w:multiLevelType w:val="hybridMultilevel"/>
    <w:tmpl w:val="BEEA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C95067"/>
    <w:multiLevelType w:val="hybridMultilevel"/>
    <w:tmpl w:val="1E5C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9E1708"/>
    <w:multiLevelType w:val="hybridMultilevel"/>
    <w:tmpl w:val="8FD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D4428"/>
    <w:multiLevelType w:val="multilevel"/>
    <w:tmpl w:val="7FC2C390"/>
    <w:lvl w:ilvl="0">
      <w:start w:val="1"/>
      <w:numFmt w:val="decimal"/>
      <w:lvlText w:val="%1."/>
      <w:lvlJc w:val="left"/>
      <w:pPr>
        <w:ind w:left="360" w:hanging="360"/>
      </w:pPr>
    </w:lvl>
    <w:lvl w:ilvl="1">
      <w:start w:val="1"/>
      <w:numFmt w:val="decimal"/>
      <w:lvlText w:val="%1.%2"/>
      <w:lvlJc w:val="left"/>
      <w:pPr>
        <w:ind w:left="794" w:hanging="7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06691B"/>
    <w:multiLevelType w:val="hybridMultilevel"/>
    <w:tmpl w:val="FD5C385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nsid w:val="5C656391"/>
    <w:multiLevelType w:val="hybridMultilevel"/>
    <w:tmpl w:val="A89AD04C"/>
    <w:lvl w:ilvl="0" w:tplc="08090001">
      <w:start w:val="1"/>
      <w:numFmt w:val="bullet"/>
      <w:lvlText w:val=""/>
      <w:lvlJc w:val="left"/>
      <w:pPr>
        <w:ind w:left="720" w:hanging="360"/>
      </w:pPr>
      <w:rPr>
        <w:rFonts w:ascii="Symbol" w:hAnsi="Symbol" w:hint="default"/>
      </w:rPr>
    </w:lvl>
    <w:lvl w:ilvl="1" w:tplc="2E42EF0C">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03D15"/>
    <w:multiLevelType w:val="hybridMultilevel"/>
    <w:tmpl w:val="1588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015622"/>
    <w:multiLevelType w:val="multilevel"/>
    <w:tmpl w:val="639276E4"/>
    <w:lvl w:ilvl="0">
      <w:start w:val="1"/>
      <w:numFmt w:val="decimal"/>
      <w:lvlText w:val="%1."/>
      <w:lvlJc w:val="left"/>
      <w:pPr>
        <w:ind w:left="1070" w:hanging="360"/>
      </w:pPr>
      <w:rPr>
        <w:b w:val="0"/>
        <w:color w:val="auto"/>
      </w:rPr>
    </w:lvl>
    <w:lvl w:ilvl="1">
      <w:start w:val="1"/>
      <w:numFmt w:val="decimal"/>
      <w:lvlText w:val="%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28">
    <w:nsid w:val="716E65CF"/>
    <w:multiLevelType w:val="hybridMultilevel"/>
    <w:tmpl w:val="2A48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B61896"/>
    <w:multiLevelType w:val="hybridMultilevel"/>
    <w:tmpl w:val="F664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1214D2"/>
    <w:multiLevelType w:val="hybridMultilevel"/>
    <w:tmpl w:val="FBE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79747E"/>
    <w:multiLevelType w:val="hybridMultilevel"/>
    <w:tmpl w:val="ABA2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7"/>
  </w:num>
  <w:num w:numId="6">
    <w:abstractNumId w:val="22"/>
  </w:num>
  <w:num w:numId="7">
    <w:abstractNumId w:val="28"/>
  </w:num>
  <w:num w:numId="8">
    <w:abstractNumId w:val="3"/>
  </w:num>
  <w:num w:numId="9">
    <w:abstractNumId w:val="25"/>
  </w:num>
  <w:num w:numId="10">
    <w:abstractNumId w:val="8"/>
  </w:num>
  <w:num w:numId="11">
    <w:abstractNumId w:val="26"/>
  </w:num>
  <w:num w:numId="12">
    <w:abstractNumId w:val="5"/>
  </w:num>
  <w:num w:numId="13">
    <w:abstractNumId w:val="6"/>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16"/>
  </w:num>
  <w:num w:numId="22">
    <w:abstractNumId w:val="1"/>
  </w:num>
  <w:num w:numId="23">
    <w:abstractNumId w:val="9"/>
  </w:num>
  <w:num w:numId="24">
    <w:abstractNumId w:val="12"/>
  </w:num>
  <w:num w:numId="25">
    <w:abstractNumId w:val="14"/>
  </w:num>
  <w:num w:numId="26">
    <w:abstractNumId w:val="24"/>
  </w:num>
  <w:num w:numId="27">
    <w:abstractNumId w:val="11"/>
  </w:num>
  <w:num w:numId="28">
    <w:abstractNumId w:val="4"/>
  </w:num>
  <w:num w:numId="29">
    <w:abstractNumId w:val="13"/>
  </w:num>
  <w:num w:numId="30">
    <w:abstractNumId w:val="20"/>
  </w:num>
  <w:num w:numId="31">
    <w:abstractNumId w:val="21"/>
  </w:num>
  <w:num w:numId="32">
    <w:abstractNumId w:val="18"/>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Younger">
    <w15:presenceInfo w15:providerId="None" w15:userId="Michael You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9"/>
    <w:rsid w:val="000254D2"/>
    <w:rsid w:val="000D48ED"/>
    <w:rsid w:val="00102861"/>
    <w:rsid w:val="00133B9D"/>
    <w:rsid w:val="001653A1"/>
    <w:rsid w:val="00194BBC"/>
    <w:rsid w:val="001A6D9E"/>
    <w:rsid w:val="001C66C8"/>
    <w:rsid w:val="001D2200"/>
    <w:rsid w:val="001E4E03"/>
    <w:rsid w:val="001F28CC"/>
    <w:rsid w:val="00214A45"/>
    <w:rsid w:val="002331BD"/>
    <w:rsid w:val="00262133"/>
    <w:rsid w:val="002D6216"/>
    <w:rsid w:val="0030219F"/>
    <w:rsid w:val="00320F67"/>
    <w:rsid w:val="00347015"/>
    <w:rsid w:val="003507D2"/>
    <w:rsid w:val="00380573"/>
    <w:rsid w:val="00383F3B"/>
    <w:rsid w:val="003A4FD3"/>
    <w:rsid w:val="003C16DE"/>
    <w:rsid w:val="003C69EA"/>
    <w:rsid w:val="003D4782"/>
    <w:rsid w:val="003D754B"/>
    <w:rsid w:val="0040188D"/>
    <w:rsid w:val="00431B6C"/>
    <w:rsid w:val="00447922"/>
    <w:rsid w:val="004A3298"/>
    <w:rsid w:val="004E3AA6"/>
    <w:rsid w:val="0051674C"/>
    <w:rsid w:val="005169CA"/>
    <w:rsid w:val="00535AFA"/>
    <w:rsid w:val="00562782"/>
    <w:rsid w:val="00565F3D"/>
    <w:rsid w:val="0057093B"/>
    <w:rsid w:val="00582806"/>
    <w:rsid w:val="005C786E"/>
    <w:rsid w:val="005D2A27"/>
    <w:rsid w:val="005D3F69"/>
    <w:rsid w:val="005F2871"/>
    <w:rsid w:val="005F2C74"/>
    <w:rsid w:val="006448CB"/>
    <w:rsid w:val="00666683"/>
    <w:rsid w:val="00694E48"/>
    <w:rsid w:val="006D15D2"/>
    <w:rsid w:val="006F1A81"/>
    <w:rsid w:val="006F545A"/>
    <w:rsid w:val="007010B7"/>
    <w:rsid w:val="00714033"/>
    <w:rsid w:val="0074316E"/>
    <w:rsid w:val="00756575"/>
    <w:rsid w:val="007951FC"/>
    <w:rsid w:val="007B61FC"/>
    <w:rsid w:val="007C0FD9"/>
    <w:rsid w:val="007E30E8"/>
    <w:rsid w:val="00812B59"/>
    <w:rsid w:val="00853CDF"/>
    <w:rsid w:val="00856BAF"/>
    <w:rsid w:val="00862B13"/>
    <w:rsid w:val="00880580"/>
    <w:rsid w:val="008A16AA"/>
    <w:rsid w:val="008B25EE"/>
    <w:rsid w:val="008B4FDE"/>
    <w:rsid w:val="008E05A4"/>
    <w:rsid w:val="00917E1A"/>
    <w:rsid w:val="0093360B"/>
    <w:rsid w:val="00970AA2"/>
    <w:rsid w:val="00987E9F"/>
    <w:rsid w:val="009A3FCB"/>
    <w:rsid w:val="009B647A"/>
    <w:rsid w:val="00A00434"/>
    <w:rsid w:val="00A02906"/>
    <w:rsid w:val="00A20C05"/>
    <w:rsid w:val="00A212CA"/>
    <w:rsid w:val="00A5517D"/>
    <w:rsid w:val="00A668C2"/>
    <w:rsid w:val="00A82C66"/>
    <w:rsid w:val="00A878EE"/>
    <w:rsid w:val="00A92298"/>
    <w:rsid w:val="00AB78AD"/>
    <w:rsid w:val="00AC4097"/>
    <w:rsid w:val="00AC524E"/>
    <w:rsid w:val="00B245E3"/>
    <w:rsid w:val="00B3580C"/>
    <w:rsid w:val="00B51ACE"/>
    <w:rsid w:val="00B843BA"/>
    <w:rsid w:val="00B86942"/>
    <w:rsid w:val="00BB728E"/>
    <w:rsid w:val="00BD3AF6"/>
    <w:rsid w:val="00BE4DCF"/>
    <w:rsid w:val="00C10DA4"/>
    <w:rsid w:val="00C27084"/>
    <w:rsid w:val="00C5066D"/>
    <w:rsid w:val="00C92ABE"/>
    <w:rsid w:val="00CB5963"/>
    <w:rsid w:val="00CC4C95"/>
    <w:rsid w:val="00CF202C"/>
    <w:rsid w:val="00D14ED2"/>
    <w:rsid w:val="00D4201B"/>
    <w:rsid w:val="00D651F3"/>
    <w:rsid w:val="00D76318"/>
    <w:rsid w:val="00D821CC"/>
    <w:rsid w:val="00DB7CE9"/>
    <w:rsid w:val="00DD73C8"/>
    <w:rsid w:val="00E60A85"/>
    <w:rsid w:val="00E67175"/>
    <w:rsid w:val="00E712DB"/>
    <w:rsid w:val="00E87D44"/>
    <w:rsid w:val="00EA5F25"/>
    <w:rsid w:val="00F24B7B"/>
    <w:rsid w:val="00F37D57"/>
    <w:rsid w:val="00F43395"/>
    <w:rsid w:val="00F66140"/>
    <w:rsid w:val="00F6677E"/>
    <w:rsid w:val="00FA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981">
      <w:bodyDiv w:val="1"/>
      <w:marLeft w:val="0"/>
      <w:marRight w:val="0"/>
      <w:marTop w:val="0"/>
      <w:marBottom w:val="0"/>
      <w:divBdr>
        <w:top w:val="none" w:sz="0" w:space="0" w:color="auto"/>
        <w:left w:val="none" w:sz="0" w:space="0" w:color="auto"/>
        <w:bottom w:val="none" w:sz="0" w:space="0" w:color="auto"/>
        <w:right w:val="none" w:sz="0" w:space="0" w:color="auto"/>
      </w:divBdr>
    </w:div>
    <w:div w:id="688221699">
      <w:bodyDiv w:val="1"/>
      <w:marLeft w:val="0"/>
      <w:marRight w:val="0"/>
      <w:marTop w:val="0"/>
      <w:marBottom w:val="0"/>
      <w:divBdr>
        <w:top w:val="none" w:sz="0" w:space="0" w:color="auto"/>
        <w:left w:val="none" w:sz="0" w:space="0" w:color="auto"/>
        <w:bottom w:val="none" w:sz="0" w:space="0" w:color="auto"/>
        <w:right w:val="none" w:sz="0" w:space="0" w:color="auto"/>
      </w:divBdr>
    </w:div>
    <w:div w:id="1181161658">
      <w:bodyDiv w:val="1"/>
      <w:marLeft w:val="0"/>
      <w:marRight w:val="0"/>
      <w:marTop w:val="0"/>
      <w:marBottom w:val="0"/>
      <w:divBdr>
        <w:top w:val="none" w:sz="0" w:space="0" w:color="auto"/>
        <w:left w:val="none" w:sz="0" w:space="0" w:color="auto"/>
        <w:bottom w:val="none" w:sz="0" w:space="0" w:color="auto"/>
        <w:right w:val="none" w:sz="0" w:space="0" w:color="auto"/>
      </w:divBdr>
    </w:div>
    <w:div w:id="1940138842">
      <w:bodyDiv w:val="1"/>
      <w:marLeft w:val="0"/>
      <w:marRight w:val="0"/>
      <w:marTop w:val="0"/>
      <w:marBottom w:val="0"/>
      <w:divBdr>
        <w:top w:val="none" w:sz="0" w:space="0" w:color="auto"/>
        <w:left w:val="none" w:sz="0" w:space="0" w:color="auto"/>
        <w:bottom w:val="none" w:sz="0" w:space="0" w:color="auto"/>
        <w:right w:val="none" w:sz="0" w:space="0" w:color="auto"/>
      </w:divBdr>
    </w:div>
    <w:div w:id="21307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3923-59C5-41AE-B6C4-FB01C52B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Younger</dc:creator>
  <cp:lastModifiedBy>Alex Ball</cp:lastModifiedBy>
  <cp:revision>9</cp:revision>
  <dcterms:created xsi:type="dcterms:W3CDTF">2019-09-04T08:37:00Z</dcterms:created>
  <dcterms:modified xsi:type="dcterms:W3CDTF">2019-11-13T10:50:00Z</dcterms:modified>
</cp:coreProperties>
</file>